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E732" w14:textId="77777777" w:rsidR="007957EB" w:rsidRPr="00514066" w:rsidRDefault="007957EB" w:rsidP="007957EB">
      <w:pPr>
        <w:keepNext/>
        <w:spacing w:after="0" w:line="240" w:lineRule="auto"/>
        <w:outlineLvl w:val="0"/>
        <w:rPr>
          <w:rFonts w:ascii="Times New Roman" w:eastAsia="Times New Roman" w:hAnsi="Times New Roman" w:cs="Times New Roman"/>
          <w:smallCaps/>
          <w:kern w:val="0"/>
          <w:lang w:val="en-US" w:eastAsia="de-DE"/>
          <w14:ligatures w14:val="none"/>
        </w:rPr>
      </w:pPr>
      <w:r w:rsidRPr="00514066">
        <w:rPr>
          <w:rFonts w:ascii="Times New Roman" w:eastAsia="Times New Roman" w:hAnsi="Times New Roman" w:cs="Times New Roman"/>
          <w:smallCaps/>
          <w:kern w:val="0"/>
          <w:lang w:val="en-US" w:eastAsia="de-DE"/>
          <w14:ligatures w14:val="none"/>
        </w:rPr>
        <w:t>Trademark Law Institute</w:t>
      </w:r>
    </w:p>
    <w:p w14:paraId="6ED10144" w14:textId="77777777" w:rsidR="007957EB" w:rsidRPr="00514066" w:rsidRDefault="007957EB" w:rsidP="00BE0DA0">
      <w:pPr>
        <w:pStyle w:val="NoSpacing"/>
        <w:rPr>
          <w:rFonts w:ascii="Times New Roman" w:hAnsi="Times New Roman" w:cs="Times New Roman"/>
          <w:lang w:val="en-US"/>
        </w:rPr>
      </w:pPr>
    </w:p>
    <w:p w14:paraId="194597E0" w14:textId="0635C89B" w:rsidR="00A627B3" w:rsidRPr="00514066" w:rsidRDefault="00514066" w:rsidP="00BE0DA0">
      <w:pPr>
        <w:pStyle w:val="NoSpacing"/>
        <w:rPr>
          <w:rFonts w:ascii="Times New Roman" w:hAnsi="Times New Roman" w:cs="Times New Roman"/>
          <w:lang w:val="en-US"/>
        </w:rPr>
      </w:pPr>
      <w:r>
        <w:rPr>
          <w:rFonts w:ascii="Times New Roman" w:hAnsi="Times New Roman" w:cs="Times New Roman"/>
          <w:lang w:val="en-US"/>
        </w:rPr>
        <w:t xml:space="preserve">2023 </w:t>
      </w:r>
      <w:r w:rsidR="007957EB" w:rsidRPr="00514066">
        <w:rPr>
          <w:rFonts w:ascii="Times New Roman" w:hAnsi="Times New Roman" w:cs="Times New Roman"/>
          <w:lang w:val="en-US"/>
        </w:rPr>
        <w:t>Conference</w:t>
      </w:r>
      <w:r>
        <w:rPr>
          <w:rFonts w:ascii="Times New Roman" w:hAnsi="Times New Roman" w:cs="Times New Roman"/>
          <w:lang w:val="en-US"/>
        </w:rPr>
        <w:t xml:space="preserve">, themed </w:t>
      </w:r>
      <w:r w:rsidR="00196AE5">
        <w:rPr>
          <w:rFonts w:ascii="Times New Roman" w:hAnsi="Times New Roman" w:cs="Times New Roman"/>
          <w:lang w:val="en-US"/>
        </w:rPr>
        <w:t>e</w:t>
      </w:r>
      <w:r w:rsidR="00BE0DA0" w:rsidRPr="00514066">
        <w:rPr>
          <w:rFonts w:ascii="Times New Roman" w:hAnsi="Times New Roman" w:cs="Times New Roman"/>
          <w:lang w:val="en-US"/>
        </w:rPr>
        <w:t xml:space="preserve">xhaustion </w:t>
      </w:r>
      <w:r w:rsidR="007957EB" w:rsidRPr="00514066">
        <w:rPr>
          <w:rFonts w:ascii="Times New Roman" w:hAnsi="Times New Roman" w:cs="Times New Roman"/>
          <w:lang w:val="en-US"/>
        </w:rPr>
        <w:t xml:space="preserve">in Trademark Law’ </w:t>
      </w:r>
    </w:p>
    <w:p w14:paraId="63B61AA9" w14:textId="77777777" w:rsidR="00BE0DA0" w:rsidRPr="00514066" w:rsidRDefault="00BE0DA0" w:rsidP="00BE0DA0">
      <w:pPr>
        <w:pStyle w:val="NoSpacing"/>
        <w:rPr>
          <w:rFonts w:ascii="Times New Roman" w:hAnsi="Times New Roman" w:cs="Times New Roman"/>
          <w:lang w:val="en-US"/>
        </w:rPr>
      </w:pPr>
    </w:p>
    <w:p w14:paraId="0014FAC9" w14:textId="1A5F6E69" w:rsidR="00D523DF" w:rsidRPr="00514066" w:rsidRDefault="00514066" w:rsidP="00BE0DA0">
      <w:pPr>
        <w:pStyle w:val="NoSpacing"/>
        <w:rPr>
          <w:rFonts w:ascii="Times New Roman" w:hAnsi="Times New Roman" w:cs="Times New Roman"/>
          <w:b/>
          <w:bCs/>
          <w:lang w:val="en-US"/>
        </w:rPr>
      </w:pPr>
      <w:r>
        <w:rPr>
          <w:rFonts w:ascii="Times New Roman" w:hAnsi="Times New Roman" w:cs="Times New Roman"/>
          <w:b/>
          <w:bCs/>
          <w:lang w:val="en-US"/>
        </w:rPr>
        <w:t xml:space="preserve">Friday </w:t>
      </w:r>
      <w:r w:rsidR="00AD4BEC">
        <w:rPr>
          <w:rFonts w:ascii="Times New Roman" w:hAnsi="Times New Roman" w:cs="Times New Roman"/>
          <w:b/>
          <w:bCs/>
          <w:lang w:val="en-US"/>
        </w:rPr>
        <w:t xml:space="preserve">afternoon </w:t>
      </w:r>
      <w:r w:rsidR="007957EB" w:rsidRPr="00514066">
        <w:rPr>
          <w:rFonts w:ascii="Times New Roman" w:hAnsi="Times New Roman" w:cs="Times New Roman"/>
          <w:b/>
          <w:bCs/>
          <w:lang w:val="en-US"/>
        </w:rPr>
        <w:t xml:space="preserve">September 15 and </w:t>
      </w:r>
      <w:r>
        <w:rPr>
          <w:rFonts w:ascii="Times New Roman" w:hAnsi="Times New Roman" w:cs="Times New Roman"/>
          <w:b/>
          <w:bCs/>
          <w:lang w:val="en-US"/>
        </w:rPr>
        <w:t xml:space="preserve">Saturday morning </w:t>
      </w:r>
      <w:r w:rsidR="007957EB" w:rsidRPr="00514066">
        <w:rPr>
          <w:rFonts w:ascii="Times New Roman" w:hAnsi="Times New Roman" w:cs="Times New Roman"/>
          <w:b/>
          <w:bCs/>
          <w:lang w:val="en-US"/>
        </w:rPr>
        <w:t>16</w:t>
      </w:r>
      <w:r w:rsidR="00D523DF" w:rsidRPr="00514066">
        <w:rPr>
          <w:rFonts w:ascii="Times New Roman" w:hAnsi="Times New Roman" w:cs="Times New Roman"/>
          <w:b/>
          <w:bCs/>
          <w:lang w:val="en-US"/>
        </w:rPr>
        <w:t>,</w:t>
      </w:r>
      <w:r w:rsidR="007957EB" w:rsidRPr="00514066">
        <w:rPr>
          <w:rFonts w:ascii="Times New Roman" w:hAnsi="Times New Roman" w:cs="Times New Roman"/>
          <w:b/>
          <w:bCs/>
          <w:lang w:val="en-US"/>
        </w:rPr>
        <w:t xml:space="preserve"> 2023</w:t>
      </w:r>
    </w:p>
    <w:p w14:paraId="4331A344" w14:textId="3FE59ECD" w:rsidR="0051015A" w:rsidRPr="00514066" w:rsidRDefault="007957EB" w:rsidP="00BE0DA0">
      <w:pPr>
        <w:pStyle w:val="NoSpacing"/>
        <w:rPr>
          <w:rFonts w:ascii="Times New Roman" w:hAnsi="Times New Roman" w:cs="Times New Roman"/>
          <w:b/>
          <w:bCs/>
          <w:lang w:val="en-US"/>
        </w:rPr>
      </w:pPr>
      <w:r w:rsidRPr="00514066">
        <w:rPr>
          <w:rFonts w:ascii="Times New Roman" w:hAnsi="Times New Roman" w:cs="Times New Roman"/>
          <w:b/>
          <w:bCs/>
          <w:lang w:val="en-US"/>
        </w:rPr>
        <w:t>Erasmus University Rotterdam</w:t>
      </w:r>
    </w:p>
    <w:p w14:paraId="4EE41227" w14:textId="77777777" w:rsidR="007957EB" w:rsidRPr="00514066" w:rsidRDefault="007957EB" w:rsidP="00BE0DA0">
      <w:pPr>
        <w:pStyle w:val="NoSpacing"/>
        <w:rPr>
          <w:rFonts w:ascii="Times New Roman" w:hAnsi="Times New Roman" w:cs="Times New Roman"/>
          <w:lang w:val="en-US"/>
        </w:rPr>
      </w:pPr>
    </w:p>
    <w:p w14:paraId="7BF65E12" w14:textId="77777777" w:rsidR="007957EB" w:rsidRPr="00514066" w:rsidRDefault="007957EB" w:rsidP="00BE0DA0">
      <w:pPr>
        <w:pStyle w:val="NoSpacing"/>
        <w:rPr>
          <w:rFonts w:ascii="Times New Roman" w:hAnsi="Times New Roman" w:cs="Times New Roman"/>
          <w:b/>
          <w:bCs/>
          <w:lang w:val="en-US"/>
        </w:rPr>
      </w:pPr>
    </w:p>
    <w:p w14:paraId="76CE13D6" w14:textId="1AA92C12" w:rsidR="007957EB" w:rsidRDefault="00514066" w:rsidP="00BE0DA0">
      <w:pPr>
        <w:pStyle w:val="NoSpacing"/>
        <w:rPr>
          <w:rFonts w:ascii="Times New Roman" w:hAnsi="Times New Roman" w:cs="Times New Roman"/>
          <w:b/>
          <w:bCs/>
          <w:lang w:val="en-US"/>
        </w:rPr>
      </w:pPr>
      <w:r w:rsidRPr="00514066">
        <w:rPr>
          <w:rFonts w:ascii="Times New Roman" w:hAnsi="Times New Roman" w:cs="Times New Roman"/>
          <w:b/>
          <w:bCs/>
          <w:lang w:val="en-US"/>
        </w:rPr>
        <w:t xml:space="preserve">Introduction and (draft) </w:t>
      </w:r>
      <w:r w:rsidR="007957EB" w:rsidRPr="00514066">
        <w:rPr>
          <w:rFonts w:ascii="Times New Roman" w:hAnsi="Times New Roman" w:cs="Times New Roman"/>
          <w:b/>
          <w:bCs/>
          <w:lang w:val="en-US"/>
        </w:rPr>
        <w:t>Program</w:t>
      </w:r>
    </w:p>
    <w:p w14:paraId="670C6370" w14:textId="77777777" w:rsidR="00514066" w:rsidRPr="00514066" w:rsidRDefault="00514066" w:rsidP="00BE0DA0">
      <w:pPr>
        <w:pStyle w:val="NoSpacing"/>
        <w:rPr>
          <w:rFonts w:ascii="Times New Roman" w:hAnsi="Times New Roman" w:cs="Times New Roman"/>
          <w:b/>
          <w:bCs/>
          <w:lang w:val="en-US"/>
        </w:rPr>
      </w:pPr>
    </w:p>
    <w:p w14:paraId="49FAD446" w14:textId="77777777" w:rsidR="00514066" w:rsidRPr="00514066" w:rsidRDefault="00514066" w:rsidP="00514066">
      <w:pPr>
        <w:pStyle w:val="BrauwK1"/>
        <w:rPr>
          <w:rFonts w:ascii="Times New Roman" w:hAnsi="Times New Roman"/>
          <w:color w:val="000000" w:themeColor="text1"/>
          <w:sz w:val="22"/>
          <w:szCs w:val="22"/>
          <w:lang w:val="en-GB"/>
        </w:rPr>
      </w:pPr>
      <w:bookmarkStart w:id="0" w:name="_Toc126335477"/>
      <w:r w:rsidRPr="00514066">
        <w:rPr>
          <w:rFonts w:ascii="Times New Roman" w:hAnsi="Times New Roman"/>
          <w:color w:val="000000" w:themeColor="text1"/>
          <w:sz w:val="22"/>
          <w:szCs w:val="22"/>
          <w:lang w:val="en-GB"/>
        </w:rPr>
        <w:t>Introduction</w:t>
      </w:r>
      <w:bookmarkEnd w:id="0"/>
    </w:p>
    <w:p w14:paraId="596EDD8F" w14:textId="247D452B"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The principle of trademark rights exhaustion in trademark law is a multifaceted topic. It entails that a trademark holder cannot control further distribution of a physical trademarked product after the first legitimate sale.</w:t>
      </w:r>
      <w:r w:rsidRPr="00514066">
        <w:rPr>
          <w:rStyle w:val="FootnoteReference"/>
          <w:rFonts w:ascii="Times New Roman" w:hAnsi="Times New Roman" w:cs="Times New Roman"/>
          <w:color w:val="000000" w:themeColor="text1"/>
        </w:rPr>
        <w:footnoteReference w:id="1"/>
      </w:r>
      <w:r w:rsidRPr="00514066">
        <w:rPr>
          <w:rFonts w:ascii="Times New Roman" w:hAnsi="Times New Roman" w:cs="Times New Roman"/>
          <w:color w:val="000000" w:themeColor="text1"/>
          <w:lang w:val="en-GB"/>
        </w:rPr>
        <w:t xml:space="preserve"> Recent discussion in trademark law increasingly lays focus on the integration of objectives outside those outlined in the theory of functions. Particularly objectives concerning sustainability and fundamental rights. Sometimes these objectives come into conflict with the traditional functions of trademark law. </w:t>
      </w:r>
      <w:r w:rsidRPr="00514066">
        <w:rPr>
          <w:rFonts w:ascii="Times New Roman" w:hAnsi="Times New Roman" w:cs="Times New Roman"/>
          <w:vertAlign w:val="superscript"/>
          <w:lang w:val="en-GB"/>
        </w:rPr>
        <w:footnoteReference w:id="2"/>
      </w:r>
      <w:r w:rsidRPr="00514066">
        <w:rPr>
          <w:rFonts w:ascii="Times New Roman" w:hAnsi="Times New Roman" w:cs="Times New Roman"/>
          <w:color w:val="000000" w:themeColor="text1"/>
          <w:lang w:val="en-GB"/>
        </w:rPr>
        <w:t xml:space="preserve"> </w:t>
      </w:r>
    </w:p>
    <w:p w14:paraId="0D3689F9" w14:textId="2674DB7D"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A trademark holder can only object to further sales of a branded products if </w:t>
      </w:r>
      <w:r>
        <w:rPr>
          <w:rFonts w:ascii="Times New Roman" w:hAnsi="Times New Roman" w:cs="Times New Roman"/>
          <w:color w:val="000000" w:themeColor="text1"/>
          <w:lang w:val="en-GB"/>
        </w:rPr>
        <w:t xml:space="preserve">these have not been put on the market within the EEA of if </w:t>
      </w:r>
      <w:r w:rsidRPr="00514066">
        <w:rPr>
          <w:rFonts w:ascii="Times New Roman" w:hAnsi="Times New Roman" w:cs="Times New Roman"/>
          <w:color w:val="000000" w:themeColor="text1"/>
          <w:lang w:val="en-GB"/>
        </w:rPr>
        <w:t>there are legitimate reasons</w:t>
      </w:r>
      <w:r>
        <w:rPr>
          <w:rFonts w:ascii="Times New Roman" w:hAnsi="Times New Roman" w:cs="Times New Roman"/>
          <w:color w:val="000000" w:themeColor="text1"/>
          <w:lang w:val="en-GB"/>
        </w:rPr>
        <w:t xml:space="preserve"> to oppose resale</w:t>
      </w:r>
      <w:r w:rsidRPr="00514066">
        <w:rPr>
          <w:rFonts w:ascii="Times New Roman" w:hAnsi="Times New Roman" w:cs="Times New Roman"/>
          <w:color w:val="000000" w:themeColor="text1"/>
          <w:lang w:val="en-GB"/>
        </w:rPr>
        <w:t xml:space="preserve">, as outlined in article 15 of </w:t>
      </w:r>
      <w:hyperlink r:id="rId8" w:history="1">
        <w:r w:rsidRPr="00514066">
          <w:rPr>
            <w:rStyle w:val="Hyperlink"/>
            <w:rFonts w:ascii="Times New Roman" w:hAnsi="Times New Roman" w:cs="Times New Roman"/>
            <w:lang w:val="en-GB"/>
          </w:rPr>
          <w:t>Directive 2015/2436</w:t>
        </w:r>
      </w:hyperlink>
      <w:r w:rsidRPr="00514066">
        <w:rPr>
          <w:rFonts w:ascii="Times New Roman" w:hAnsi="Times New Roman" w:cs="Times New Roman"/>
          <w:color w:val="000000" w:themeColor="text1"/>
          <w:lang w:val="en-GB"/>
        </w:rPr>
        <w:t xml:space="preserve">. In recent case-law several questions have been raised concerning the relation between exhaustion in trademark law and those legitimate reasons, such as: the burden of proof, repair repackaging and refilling of products, the position of fundamental rights and the usage or re-usage of products. In this </w:t>
      </w:r>
      <w:r>
        <w:rPr>
          <w:rFonts w:ascii="Times New Roman" w:hAnsi="Times New Roman" w:cs="Times New Roman"/>
          <w:color w:val="000000" w:themeColor="text1"/>
          <w:lang w:val="en-GB"/>
        </w:rPr>
        <w:t xml:space="preserve">introduction </w:t>
      </w:r>
      <w:r w:rsidRPr="00514066">
        <w:rPr>
          <w:rFonts w:ascii="Times New Roman" w:hAnsi="Times New Roman" w:cs="Times New Roman"/>
          <w:color w:val="000000" w:themeColor="text1"/>
          <w:lang w:val="en-GB"/>
        </w:rPr>
        <w:t xml:space="preserve">several questions surrounding pivotal cases on exhaustion in trademark law are </w:t>
      </w:r>
      <w:r>
        <w:rPr>
          <w:rFonts w:ascii="Times New Roman" w:hAnsi="Times New Roman" w:cs="Times New Roman"/>
          <w:color w:val="000000" w:themeColor="text1"/>
          <w:lang w:val="en-GB"/>
        </w:rPr>
        <w:t>highlighted, for later discussion</w:t>
      </w:r>
      <w:r w:rsidRPr="00514066">
        <w:rPr>
          <w:rFonts w:ascii="Times New Roman" w:hAnsi="Times New Roman" w:cs="Times New Roman"/>
          <w:color w:val="000000" w:themeColor="text1"/>
          <w:lang w:val="en-GB"/>
        </w:rPr>
        <w:t xml:space="preserve">.  </w:t>
      </w:r>
    </w:p>
    <w:p w14:paraId="7135496B" w14:textId="77777777" w:rsidR="00514066" w:rsidRPr="00514066" w:rsidRDefault="00514066" w:rsidP="00514066">
      <w:pPr>
        <w:spacing w:line="240" w:lineRule="auto"/>
        <w:rPr>
          <w:rFonts w:ascii="Times New Roman" w:hAnsi="Times New Roman" w:cs="Times New Roman"/>
          <w:b/>
          <w:bCs/>
          <w:caps/>
          <w:lang w:val="en-GB"/>
        </w:rPr>
      </w:pPr>
      <w:r w:rsidRPr="00514066">
        <w:rPr>
          <w:rFonts w:ascii="Times New Roman" w:hAnsi="Times New Roman" w:cs="Times New Roman"/>
          <w:b/>
          <w:bCs/>
          <w:lang w:val="en-GB"/>
        </w:rPr>
        <w:t>Overview</w:t>
      </w:r>
    </w:p>
    <w:sdt>
      <w:sdtPr>
        <w:rPr>
          <w:rFonts w:ascii="Times New Roman" w:eastAsia="Calibri" w:hAnsi="Times New Roman" w:cs="Times New Roman"/>
          <w:color w:val="auto"/>
          <w:spacing w:val="3"/>
          <w:kern w:val="2"/>
          <w:sz w:val="22"/>
          <w:szCs w:val="22"/>
          <w:lang w:val="nl-NL"/>
          <w14:ligatures w14:val="standardContextual"/>
        </w:rPr>
        <w:id w:val="2052254690"/>
        <w:docPartObj>
          <w:docPartGallery w:val="Table of Contents"/>
          <w:docPartUnique/>
        </w:docPartObj>
      </w:sdtPr>
      <w:sdtEndPr>
        <w:rPr>
          <w:rFonts w:eastAsiaTheme="minorHAnsi"/>
          <w:b/>
          <w:bCs/>
          <w:noProof/>
          <w:spacing w:val="0"/>
        </w:rPr>
      </w:sdtEndPr>
      <w:sdtContent>
        <w:p w14:paraId="244E76B3" w14:textId="77777777" w:rsidR="00514066" w:rsidRPr="00514066" w:rsidRDefault="00514066" w:rsidP="00514066">
          <w:pPr>
            <w:pStyle w:val="TOCHeading"/>
            <w:rPr>
              <w:rFonts w:ascii="Times New Roman" w:hAnsi="Times New Roman" w:cs="Times New Roman"/>
              <w:color w:val="000000" w:themeColor="text1"/>
              <w:sz w:val="22"/>
              <w:szCs w:val="22"/>
            </w:rPr>
          </w:pPr>
          <w:r w:rsidRPr="00514066">
            <w:rPr>
              <w:rFonts w:ascii="Times New Roman" w:hAnsi="Times New Roman" w:cs="Times New Roman"/>
              <w:color w:val="000000" w:themeColor="text1"/>
              <w:sz w:val="22"/>
              <w:szCs w:val="22"/>
            </w:rPr>
            <w:t>Table of Contents</w:t>
          </w:r>
        </w:p>
        <w:p w14:paraId="712C68FF" w14:textId="77777777" w:rsidR="00514066" w:rsidRPr="00514066" w:rsidRDefault="00514066" w:rsidP="00514066">
          <w:pPr>
            <w:pStyle w:val="TOC1"/>
            <w:rPr>
              <w:rFonts w:ascii="Times New Roman" w:eastAsiaTheme="minorEastAsia" w:hAnsi="Times New Roman"/>
              <w:bCs w:val="0"/>
              <w:caps w:val="0"/>
              <w:spacing w:val="0"/>
              <w:sz w:val="22"/>
              <w:szCs w:val="22"/>
              <w:lang w:eastAsia="en-GB"/>
            </w:rPr>
          </w:pPr>
          <w:r w:rsidRPr="00514066">
            <w:rPr>
              <w:rFonts w:ascii="Times New Roman" w:hAnsi="Times New Roman"/>
              <w:sz w:val="22"/>
              <w:szCs w:val="22"/>
            </w:rPr>
            <w:fldChar w:fldCharType="begin"/>
          </w:r>
          <w:r w:rsidRPr="00514066">
            <w:rPr>
              <w:rFonts w:ascii="Times New Roman" w:hAnsi="Times New Roman"/>
              <w:sz w:val="22"/>
              <w:szCs w:val="22"/>
            </w:rPr>
            <w:instrText xml:space="preserve"> TOC \o "1-3" \h \z \u </w:instrText>
          </w:r>
          <w:r w:rsidRPr="00514066">
            <w:rPr>
              <w:rFonts w:ascii="Times New Roman" w:hAnsi="Times New Roman"/>
              <w:sz w:val="22"/>
              <w:szCs w:val="22"/>
            </w:rPr>
            <w:fldChar w:fldCharType="separate"/>
          </w:r>
          <w:hyperlink w:anchor="_Toc126335477" w:history="1">
            <w:r w:rsidRPr="00514066">
              <w:rPr>
                <w:rStyle w:val="Hyperlink"/>
                <w:rFonts w:ascii="Times New Roman" w:hAnsi="Times New Roman"/>
                <w:sz w:val="22"/>
                <w:szCs w:val="22"/>
              </w:rPr>
              <w:t>1</w:t>
            </w:r>
            <w:r w:rsidRPr="00514066">
              <w:rPr>
                <w:rFonts w:ascii="Times New Roman" w:eastAsiaTheme="minorEastAsia" w:hAnsi="Times New Roman"/>
                <w:bCs w:val="0"/>
                <w:caps w:val="0"/>
                <w:spacing w:val="0"/>
                <w:sz w:val="22"/>
                <w:szCs w:val="22"/>
                <w:lang w:eastAsia="en-GB"/>
              </w:rPr>
              <w:tab/>
            </w:r>
            <w:r w:rsidRPr="00514066">
              <w:rPr>
                <w:rStyle w:val="Hyperlink"/>
                <w:rFonts w:ascii="Times New Roman" w:hAnsi="Times New Roman"/>
                <w:sz w:val="22"/>
                <w:szCs w:val="22"/>
              </w:rPr>
              <w:t>Introduction</w:t>
            </w:r>
            <w:r w:rsidRPr="00514066">
              <w:rPr>
                <w:rFonts w:ascii="Times New Roman" w:hAnsi="Times New Roman"/>
                <w:webHidden/>
                <w:sz w:val="22"/>
                <w:szCs w:val="22"/>
              </w:rPr>
              <w:tab/>
            </w:r>
            <w:r w:rsidRPr="00514066">
              <w:rPr>
                <w:rFonts w:ascii="Times New Roman" w:hAnsi="Times New Roman"/>
                <w:webHidden/>
                <w:sz w:val="22"/>
                <w:szCs w:val="22"/>
              </w:rPr>
              <w:fldChar w:fldCharType="begin"/>
            </w:r>
            <w:r w:rsidRPr="00514066">
              <w:rPr>
                <w:rFonts w:ascii="Times New Roman" w:hAnsi="Times New Roman"/>
                <w:webHidden/>
                <w:sz w:val="22"/>
                <w:szCs w:val="22"/>
              </w:rPr>
              <w:instrText xml:space="preserve"> PAGEREF _Toc126335477 \h </w:instrText>
            </w:r>
            <w:r w:rsidRPr="00514066">
              <w:rPr>
                <w:rFonts w:ascii="Times New Roman" w:hAnsi="Times New Roman"/>
                <w:webHidden/>
                <w:sz w:val="22"/>
                <w:szCs w:val="22"/>
              </w:rPr>
            </w:r>
            <w:r w:rsidRPr="00514066">
              <w:rPr>
                <w:rFonts w:ascii="Times New Roman" w:hAnsi="Times New Roman"/>
                <w:webHidden/>
                <w:sz w:val="22"/>
                <w:szCs w:val="22"/>
              </w:rPr>
              <w:fldChar w:fldCharType="separate"/>
            </w:r>
            <w:r w:rsidRPr="00514066">
              <w:rPr>
                <w:rFonts w:ascii="Times New Roman" w:hAnsi="Times New Roman"/>
                <w:webHidden/>
                <w:sz w:val="22"/>
                <w:szCs w:val="22"/>
              </w:rPr>
              <w:t>1</w:t>
            </w:r>
            <w:r w:rsidRPr="00514066">
              <w:rPr>
                <w:rFonts w:ascii="Times New Roman" w:hAnsi="Times New Roman"/>
                <w:webHidden/>
                <w:sz w:val="22"/>
                <w:szCs w:val="22"/>
              </w:rPr>
              <w:fldChar w:fldCharType="end"/>
            </w:r>
          </w:hyperlink>
        </w:p>
        <w:p w14:paraId="4FC4F2C6"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78" w:history="1">
            <w:r w:rsidR="00514066" w:rsidRPr="00514066">
              <w:rPr>
                <w:rStyle w:val="Hyperlink"/>
                <w:rFonts w:ascii="Times New Roman" w:hAnsi="Times New Roman"/>
                <w:noProof/>
                <w:sz w:val="22"/>
                <w:szCs w:val="22"/>
              </w:rPr>
              <w:t>2.1</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Burden of proof for exhaustion of branded products</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_Toc126335478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2</w:t>
            </w:r>
            <w:r w:rsidR="00514066" w:rsidRPr="00514066">
              <w:rPr>
                <w:rFonts w:ascii="Times New Roman" w:hAnsi="Times New Roman"/>
                <w:noProof/>
                <w:webHidden/>
                <w:sz w:val="22"/>
                <w:szCs w:val="22"/>
              </w:rPr>
              <w:fldChar w:fldCharType="end"/>
            </w:r>
          </w:hyperlink>
        </w:p>
        <w:p w14:paraId="51A284BF" w14:textId="50944F9C"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79" w:history="1">
            <w:r w:rsidR="00514066" w:rsidRPr="00514066">
              <w:rPr>
                <w:rStyle w:val="Hyperlink"/>
                <w:rFonts w:ascii="Times New Roman" w:hAnsi="Times New Roman"/>
                <w:noProof/>
                <w:sz w:val="22"/>
                <w:szCs w:val="22"/>
              </w:rPr>
              <w:t>2.2</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 xml:space="preserve">Issues concerning repair (see </w:t>
            </w:r>
            <w:r w:rsidR="00514066">
              <w:rPr>
                <w:rStyle w:val="Hyperlink"/>
                <w:rFonts w:ascii="Times New Roman" w:hAnsi="Times New Roman"/>
                <w:noProof/>
                <w:sz w:val="22"/>
                <w:szCs w:val="22"/>
              </w:rPr>
              <w:t xml:space="preserve">Dutch SC </w:t>
            </w:r>
            <w:r w:rsidR="00514066" w:rsidRPr="00514066">
              <w:rPr>
                <w:rStyle w:val="Hyperlink"/>
                <w:rFonts w:ascii="Times New Roman" w:hAnsi="Times New Roman"/>
                <w:noProof/>
                <w:sz w:val="22"/>
                <w:szCs w:val="22"/>
              </w:rPr>
              <w:t>stions to the CJEU in the EPAL case)</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_Toc126335479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3</w:t>
            </w:r>
            <w:r w:rsidR="00514066" w:rsidRPr="00514066">
              <w:rPr>
                <w:rFonts w:ascii="Times New Roman" w:hAnsi="Times New Roman"/>
                <w:noProof/>
                <w:webHidden/>
                <w:sz w:val="22"/>
                <w:szCs w:val="22"/>
              </w:rPr>
              <w:fldChar w:fldCharType="end"/>
            </w:r>
          </w:hyperlink>
        </w:p>
        <w:p w14:paraId="62CB8606"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0" w:history="1">
            <w:r w:rsidR="00514066" w:rsidRPr="00514066">
              <w:rPr>
                <w:rStyle w:val="Hyperlink"/>
                <w:rFonts w:ascii="Times New Roman" w:hAnsi="Times New Roman"/>
                <w:noProof/>
                <w:sz w:val="22"/>
                <w:szCs w:val="22"/>
              </w:rPr>
              <w:t>2.3</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Refurbishment</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_Toc126335480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4</w:t>
            </w:r>
            <w:r w:rsidR="00514066" w:rsidRPr="00514066">
              <w:rPr>
                <w:rFonts w:ascii="Times New Roman" w:hAnsi="Times New Roman"/>
                <w:noProof/>
                <w:webHidden/>
                <w:sz w:val="22"/>
                <w:szCs w:val="22"/>
              </w:rPr>
              <w:fldChar w:fldCharType="end"/>
            </w:r>
          </w:hyperlink>
        </w:p>
        <w:p w14:paraId="34E190F0"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1" w:history="1">
            <w:r w:rsidR="00514066" w:rsidRPr="00514066">
              <w:rPr>
                <w:rStyle w:val="Hyperlink"/>
                <w:rFonts w:ascii="Times New Roman" w:hAnsi="Times New Roman"/>
                <w:noProof/>
                <w:sz w:val="22"/>
                <w:szCs w:val="22"/>
              </w:rPr>
              <w:t>2.4</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Upcycling en recycling</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_Toc126335481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5</w:t>
            </w:r>
            <w:r w:rsidR="00514066" w:rsidRPr="00514066">
              <w:rPr>
                <w:rFonts w:ascii="Times New Roman" w:hAnsi="Times New Roman"/>
                <w:noProof/>
                <w:webHidden/>
                <w:sz w:val="22"/>
                <w:szCs w:val="22"/>
              </w:rPr>
              <w:fldChar w:fldCharType="end"/>
            </w:r>
          </w:hyperlink>
        </w:p>
        <w:p w14:paraId="4C820B39"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2" w:history="1">
            <w:r w:rsidR="00514066" w:rsidRPr="00514066">
              <w:rPr>
                <w:rStyle w:val="Hyperlink"/>
                <w:rFonts w:ascii="Times New Roman" w:hAnsi="Times New Roman"/>
                <w:noProof/>
                <w:sz w:val="22"/>
                <w:szCs w:val="22"/>
              </w:rPr>
              <w:t>2.5</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Usage of a product in art</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_Toc126335482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6</w:t>
            </w:r>
            <w:r w:rsidR="00514066" w:rsidRPr="00514066">
              <w:rPr>
                <w:rFonts w:ascii="Times New Roman" w:hAnsi="Times New Roman"/>
                <w:noProof/>
                <w:webHidden/>
                <w:sz w:val="22"/>
                <w:szCs w:val="22"/>
              </w:rPr>
              <w:fldChar w:fldCharType="end"/>
            </w:r>
          </w:hyperlink>
        </w:p>
        <w:p w14:paraId="33F560DA"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3" w:history="1">
            <w:r w:rsidR="00514066" w:rsidRPr="00514066">
              <w:rPr>
                <w:rStyle w:val="Hyperlink"/>
                <w:rFonts w:ascii="Times New Roman" w:hAnsi="Times New Roman"/>
                <w:noProof/>
                <w:sz w:val="22"/>
                <w:szCs w:val="22"/>
              </w:rPr>
              <w:t>2.6</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Refilling</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_Toc126335483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7</w:t>
            </w:r>
            <w:r w:rsidR="00514066" w:rsidRPr="00514066">
              <w:rPr>
                <w:rFonts w:ascii="Times New Roman" w:hAnsi="Times New Roman"/>
                <w:noProof/>
                <w:webHidden/>
                <w:sz w:val="22"/>
                <w:szCs w:val="22"/>
              </w:rPr>
              <w:fldChar w:fldCharType="end"/>
            </w:r>
          </w:hyperlink>
        </w:p>
        <w:p w14:paraId="6791482F"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4" w:history="1">
            <w:r w:rsidR="00514066" w:rsidRPr="00514066">
              <w:rPr>
                <w:rStyle w:val="Hyperlink"/>
                <w:rFonts w:ascii="Times New Roman" w:hAnsi="Times New Roman"/>
                <w:noProof/>
                <w:sz w:val="22"/>
                <w:szCs w:val="22"/>
              </w:rPr>
              <w:t>2.7</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Repackaging of products (especially pharmaceuticals)</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_Toc126335484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8</w:t>
            </w:r>
            <w:r w:rsidR="00514066" w:rsidRPr="00514066">
              <w:rPr>
                <w:rFonts w:ascii="Times New Roman" w:hAnsi="Times New Roman"/>
                <w:noProof/>
                <w:webHidden/>
                <w:sz w:val="22"/>
                <w:szCs w:val="22"/>
              </w:rPr>
              <w:fldChar w:fldCharType="end"/>
            </w:r>
          </w:hyperlink>
        </w:p>
        <w:p w14:paraId="4B8B2DBB" w14:textId="77777777"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5" w:history="1">
            <w:r w:rsidR="00514066" w:rsidRPr="00514066">
              <w:rPr>
                <w:rStyle w:val="Hyperlink"/>
                <w:rFonts w:ascii="Times New Roman" w:hAnsi="Times New Roman"/>
                <w:noProof/>
                <w:sz w:val="22"/>
                <w:szCs w:val="22"/>
              </w:rPr>
              <w:t>2.8</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Question of limits of debranding/rebranding</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_Toc126335485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9</w:t>
            </w:r>
            <w:r w:rsidR="00514066" w:rsidRPr="00514066">
              <w:rPr>
                <w:rFonts w:ascii="Times New Roman" w:hAnsi="Times New Roman"/>
                <w:noProof/>
                <w:webHidden/>
                <w:sz w:val="22"/>
                <w:szCs w:val="22"/>
              </w:rPr>
              <w:fldChar w:fldCharType="end"/>
            </w:r>
          </w:hyperlink>
        </w:p>
        <w:p w14:paraId="35664609" w14:textId="738FC6A3" w:rsidR="00514066" w:rsidRPr="00514066" w:rsidRDefault="00000000" w:rsidP="00514066">
          <w:pPr>
            <w:pStyle w:val="TOC2"/>
            <w:tabs>
              <w:tab w:val="left" w:pos="1418"/>
            </w:tabs>
            <w:rPr>
              <w:rFonts w:ascii="Times New Roman" w:eastAsiaTheme="minorEastAsia" w:hAnsi="Times New Roman"/>
              <w:noProof/>
              <w:spacing w:val="0"/>
              <w:sz w:val="22"/>
              <w:szCs w:val="22"/>
              <w:lang w:eastAsia="en-GB"/>
            </w:rPr>
          </w:pPr>
          <w:hyperlink w:anchor="_Toc126335486" w:history="1">
            <w:r w:rsidR="00514066" w:rsidRPr="00514066">
              <w:rPr>
                <w:rStyle w:val="Hyperlink"/>
                <w:rFonts w:ascii="Times New Roman" w:hAnsi="Times New Roman"/>
                <w:noProof/>
                <w:sz w:val="22"/>
                <w:szCs w:val="22"/>
              </w:rPr>
              <w:t>2.9</w:t>
            </w:r>
            <w:r w:rsidR="00514066" w:rsidRPr="00514066">
              <w:rPr>
                <w:rFonts w:ascii="Times New Roman" w:eastAsiaTheme="minorEastAsia" w:hAnsi="Times New Roman"/>
                <w:noProof/>
                <w:spacing w:val="0"/>
                <w:sz w:val="22"/>
                <w:szCs w:val="22"/>
                <w:lang w:eastAsia="en-GB"/>
              </w:rPr>
              <w:tab/>
            </w:r>
            <w:r w:rsidR="00514066" w:rsidRPr="00514066">
              <w:rPr>
                <w:rStyle w:val="Hyperlink"/>
                <w:rFonts w:ascii="Times New Roman" w:hAnsi="Times New Roman"/>
                <w:noProof/>
                <w:sz w:val="22"/>
                <w:szCs w:val="22"/>
              </w:rPr>
              <w:t xml:space="preserve">What about the customs status of products in case of exhaustion </w:t>
            </w:r>
            <w:r w:rsidR="00514066" w:rsidRPr="00514066">
              <w:rPr>
                <w:rFonts w:ascii="Times New Roman" w:hAnsi="Times New Roman"/>
                <w:noProof/>
                <w:webHidden/>
                <w:sz w:val="22"/>
                <w:szCs w:val="22"/>
              </w:rPr>
              <w:tab/>
            </w:r>
            <w:r w:rsidR="00514066" w:rsidRPr="00514066">
              <w:rPr>
                <w:rFonts w:ascii="Times New Roman" w:hAnsi="Times New Roman"/>
                <w:noProof/>
                <w:webHidden/>
                <w:sz w:val="22"/>
                <w:szCs w:val="22"/>
              </w:rPr>
              <w:fldChar w:fldCharType="begin"/>
            </w:r>
            <w:r w:rsidR="00514066" w:rsidRPr="00514066">
              <w:rPr>
                <w:rFonts w:ascii="Times New Roman" w:hAnsi="Times New Roman"/>
                <w:noProof/>
                <w:webHidden/>
                <w:sz w:val="22"/>
                <w:szCs w:val="22"/>
              </w:rPr>
              <w:instrText xml:space="preserve"> PAGEREF _Toc126335486 \h </w:instrText>
            </w:r>
            <w:r w:rsidR="00514066" w:rsidRPr="00514066">
              <w:rPr>
                <w:rFonts w:ascii="Times New Roman" w:hAnsi="Times New Roman"/>
                <w:noProof/>
                <w:webHidden/>
                <w:sz w:val="22"/>
                <w:szCs w:val="22"/>
              </w:rPr>
            </w:r>
            <w:r w:rsidR="00514066" w:rsidRPr="00514066">
              <w:rPr>
                <w:rFonts w:ascii="Times New Roman" w:hAnsi="Times New Roman"/>
                <w:noProof/>
                <w:webHidden/>
                <w:sz w:val="22"/>
                <w:szCs w:val="22"/>
              </w:rPr>
              <w:fldChar w:fldCharType="separate"/>
            </w:r>
            <w:r w:rsidR="00514066" w:rsidRPr="00514066">
              <w:rPr>
                <w:rFonts w:ascii="Times New Roman" w:hAnsi="Times New Roman"/>
                <w:noProof/>
                <w:webHidden/>
                <w:sz w:val="22"/>
                <w:szCs w:val="22"/>
              </w:rPr>
              <w:t>10</w:t>
            </w:r>
            <w:r w:rsidR="00514066" w:rsidRPr="00514066">
              <w:rPr>
                <w:rFonts w:ascii="Times New Roman" w:hAnsi="Times New Roman"/>
                <w:noProof/>
                <w:webHidden/>
                <w:sz w:val="22"/>
                <w:szCs w:val="22"/>
              </w:rPr>
              <w:fldChar w:fldCharType="end"/>
            </w:r>
          </w:hyperlink>
        </w:p>
        <w:p w14:paraId="2F999EB6" w14:textId="77777777" w:rsidR="00514066" w:rsidRPr="00514066" w:rsidRDefault="00514066" w:rsidP="00514066">
          <w:pPr>
            <w:rPr>
              <w:rFonts w:ascii="Times New Roman" w:hAnsi="Times New Roman" w:cs="Times New Roman"/>
            </w:rPr>
          </w:pPr>
          <w:r w:rsidRPr="00514066">
            <w:rPr>
              <w:rFonts w:ascii="Times New Roman" w:hAnsi="Times New Roman" w:cs="Times New Roman"/>
              <w:b/>
              <w:bCs/>
              <w:noProof/>
            </w:rPr>
            <w:fldChar w:fldCharType="end"/>
          </w:r>
        </w:p>
      </w:sdtContent>
    </w:sdt>
    <w:p w14:paraId="336A84FC" w14:textId="614170C3" w:rsidR="00514066" w:rsidRPr="00514066" w:rsidRDefault="00514066" w:rsidP="00514066">
      <w:pPr>
        <w:pStyle w:val="BrauwA1"/>
        <w:rPr>
          <w:rFonts w:ascii="Times New Roman" w:hAnsi="Times New Roman"/>
          <w:sz w:val="22"/>
          <w:szCs w:val="22"/>
          <w:lang w:val="en-GB"/>
        </w:rPr>
      </w:pPr>
      <w:r>
        <w:rPr>
          <w:rFonts w:ascii="Times New Roman" w:hAnsi="Times New Roman"/>
          <w:sz w:val="22"/>
          <w:szCs w:val="22"/>
          <w:lang w:val="en-GB"/>
        </w:rPr>
        <w:t>issues</w:t>
      </w:r>
    </w:p>
    <w:p w14:paraId="187C7B5C" w14:textId="77777777" w:rsidR="00514066" w:rsidRPr="00514066" w:rsidRDefault="00514066" w:rsidP="00514066">
      <w:pPr>
        <w:pStyle w:val="BrauwK2"/>
        <w:rPr>
          <w:rFonts w:ascii="Times New Roman" w:hAnsi="Times New Roman"/>
          <w:sz w:val="22"/>
          <w:lang w:val="en-GB"/>
        </w:rPr>
      </w:pPr>
      <w:bookmarkStart w:id="1" w:name="_Toc126335478"/>
      <w:r w:rsidRPr="00514066">
        <w:rPr>
          <w:rFonts w:ascii="Times New Roman" w:hAnsi="Times New Roman"/>
          <w:sz w:val="22"/>
          <w:lang w:val="en-GB"/>
        </w:rPr>
        <w:lastRenderedPageBreak/>
        <w:t>Burden of proof for exhaustion of branded products</w:t>
      </w:r>
      <w:bookmarkEnd w:id="1"/>
    </w:p>
    <w:p w14:paraId="49F82EC0" w14:textId="268FCBBF"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i/>
          <w:iCs/>
          <w:color w:val="000000" w:themeColor="text1"/>
          <w:lang w:val="en-GB"/>
        </w:rPr>
        <w:t xml:space="preserve">In </w:t>
      </w:r>
      <w:proofErr w:type="spellStart"/>
      <w:r w:rsidRPr="00514066">
        <w:rPr>
          <w:rFonts w:ascii="Times New Roman" w:hAnsi="Times New Roman" w:cs="Times New Roman"/>
          <w:i/>
          <w:iCs/>
          <w:color w:val="000000" w:themeColor="text1"/>
          <w:lang w:val="en-GB"/>
        </w:rPr>
        <w:t>Sporttrading</w:t>
      </w:r>
      <w:proofErr w:type="spellEnd"/>
      <w:r w:rsidRPr="00514066">
        <w:rPr>
          <w:rFonts w:ascii="Times New Roman" w:hAnsi="Times New Roman" w:cs="Times New Roman"/>
          <w:i/>
          <w:iCs/>
          <w:color w:val="000000" w:themeColor="text1"/>
          <w:lang w:val="en-GB"/>
        </w:rPr>
        <w:t xml:space="preserve"> v Converse</w:t>
      </w:r>
      <w:r w:rsidRPr="00514066">
        <w:rPr>
          <w:rFonts w:ascii="Times New Roman" w:hAnsi="Times New Roman" w:cs="Times New Roman"/>
          <w:color w:val="000000" w:themeColor="text1"/>
          <w:lang w:val="en-GB"/>
        </w:rPr>
        <w:t xml:space="preserve"> the question is addressed whether a reverse burden of proof is justified in certain cases of exhaustion in trademark law.</w:t>
      </w:r>
      <w:r w:rsidRPr="00514066">
        <w:rPr>
          <w:rFonts w:ascii="Times New Roman" w:hAnsi="Times New Roman" w:cs="Times New Roman"/>
          <w:color w:val="000000" w:themeColor="text1"/>
          <w:vertAlign w:val="superscript"/>
          <w:lang w:val="en-GB"/>
        </w:rPr>
        <w:footnoteReference w:id="3"/>
      </w:r>
      <w:r w:rsidRPr="00514066">
        <w:rPr>
          <w:rFonts w:ascii="Times New Roman" w:hAnsi="Times New Roman" w:cs="Times New Roman"/>
          <w:color w:val="000000" w:themeColor="text1"/>
          <w:lang w:val="en-GB"/>
        </w:rPr>
        <w:t xml:space="preserve"> The ratio behind such a reverse burden of proof can generally be found in the protection of the free movement of goods within the internal market. </w:t>
      </w:r>
    </w:p>
    <w:p w14:paraId="51264EFF" w14:textId="32E7BD44"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Exhaustion is a limitation of the exclusive right of a trademark holder. Therefore, the burden of proof lies with the party that </w:t>
      </w:r>
      <w:r>
        <w:rPr>
          <w:rFonts w:ascii="Times New Roman" w:hAnsi="Times New Roman" w:cs="Times New Roman"/>
          <w:color w:val="000000" w:themeColor="text1"/>
          <w:lang w:val="en-GB"/>
        </w:rPr>
        <w:t>relies on</w:t>
      </w:r>
      <w:r w:rsidRPr="00514066">
        <w:rPr>
          <w:rFonts w:ascii="Times New Roman" w:hAnsi="Times New Roman" w:cs="Times New Roman"/>
          <w:color w:val="000000" w:themeColor="text1"/>
          <w:lang w:val="en-GB"/>
        </w:rPr>
        <w:t xml:space="preserve"> this limitation.</w:t>
      </w:r>
      <w:r w:rsidRPr="00514066">
        <w:rPr>
          <w:rStyle w:val="FootnoteReference"/>
          <w:rFonts w:ascii="Times New Roman" w:hAnsi="Times New Roman" w:cs="Times New Roman"/>
          <w:color w:val="000000" w:themeColor="text1"/>
        </w:rPr>
        <w:footnoteReference w:id="4"/>
      </w:r>
      <w:r w:rsidRPr="00514066">
        <w:rPr>
          <w:rFonts w:ascii="Times New Roman" w:hAnsi="Times New Roman" w:cs="Times New Roman"/>
          <w:color w:val="000000" w:themeColor="text1"/>
          <w:lang w:val="en-GB"/>
        </w:rPr>
        <w:t xml:space="preserve"> Conversely, this means the trademark holder has no obligation to pro</w:t>
      </w:r>
      <w:r>
        <w:rPr>
          <w:rFonts w:ascii="Times New Roman" w:hAnsi="Times New Roman" w:cs="Times New Roman"/>
          <w:color w:val="000000" w:themeColor="text1"/>
          <w:lang w:val="en-GB"/>
        </w:rPr>
        <w:t>ve</w:t>
      </w:r>
      <w:r w:rsidRPr="00514066">
        <w:rPr>
          <w:rFonts w:ascii="Times New Roman" w:hAnsi="Times New Roman" w:cs="Times New Roman"/>
          <w:color w:val="000000" w:themeColor="text1"/>
          <w:lang w:val="en-GB"/>
        </w:rPr>
        <w:t xml:space="preserve"> the goods were imported into the EEA </w:t>
      </w:r>
      <w:r w:rsidRPr="00514066">
        <w:rPr>
          <w:rFonts w:ascii="Times New Roman" w:hAnsi="Times New Roman" w:cs="Times New Roman"/>
          <w:i/>
          <w:iCs/>
          <w:color w:val="000000" w:themeColor="text1"/>
          <w:lang w:val="en-GB"/>
        </w:rPr>
        <w:t>without</w:t>
      </w:r>
      <w:r w:rsidRPr="00514066">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its</w:t>
      </w:r>
      <w:r w:rsidRPr="00514066">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consent</w:t>
      </w:r>
      <w:r w:rsidRPr="00514066">
        <w:rPr>
          <w:rFonts w:ascii="Times New Roman" w:hAnsi="Times New Roman" w:cs="Times New Roman"/>
          <w:color w:val="000000" w:themeColor="text1"/>
          <w:lang w:val="en-GB"/>
        </w:rPr>
        <w:t>. In practice it will often prove difficult for a selling party</w:t>
      </w:r>
      <w:r>
        <w:rPr>
          <w:rFonts w:ascii="Times New Roman" w:hAnsi="Times New Roman" w:cs="Times New Roman"/>
          <w:color w:val="000000" w:themeColor="text1"/>
          <w:lang w:val="en-GB"/>
        </w:rPr>
        <w:t>, not part of the official distribution chain,</w:t>
      </w:r>
      <w:r w:rsidRPr="00514066">
        <w:rPr>
          <w:rFonts w:ascii="Times New Roman" w:hAnsi="Times New Roman" w:cs="Times New Roman"/>
          <w:color w:val="000000" w:themeColor="text1"/>
          <w:lang w:val="en-GB"/>
        </w:rPr>
        <w:t xml:space="preserve"> to demonstrate th</w:t>
      </w:r>
      <w:r>
        <w:rPr>
          <w:rFonts w:ascii="Times New Roman" w:hAnsi="Times New Roman" w:cs="Times New Roman"/>
          <w:color w:val="000000" w:themeColor="text1"/>
          <w:lang w:val="en-GB"/>
        </w:rPr>
        <w:t>at</w:t>
      </w:r>
      <w:r w:rsidRPr="00514066">
        <w:rPr>
          <w:rFonts w:ascii="Times New Roman" w:hAnsi="Times New Roman" w:cs="Times New Roman"/>
          <w:color w:val="000000" w:themeColor="text1"/>
          <w:lang w:val="en-GB"/>
        </w:rPr>
        <w:t xml:space="preserve"> goods were imported into the EEA with the </w:t>
      </w:r>
      <w:r>
        <w:rPr>
          <w:rFonts w:ascii="Times New Roman" w:hAnsi="Times New Roman" w:cs="Times New Roman"/>
          <w:color w:val="000000" w:themeColor="text1"/>
          <w:lang w:val="en-GB"/>
        </w:rPr>
        <w:t>consent</w:t>
      </w:r>
      <w:r w:rsidRPr="00514066">
        <w:rPr>
          <w:rFonts w:ascii="Times New Roman" w:hAnsi="Times New Roman" w:cs="Times New Roman"/>
          <w:color w:val="000000" w:themeColor="text1"/>
          <w:lang w:val="en-GB"/>
        </w:rPr>
        <w:t xml:space="preserve"> of the trademark holder. Records of the entire chain of sales tend to be insufficiently kept. In </w:t>
      </w:r>
      <w:proofErr w:type="spellStart"/>
      <w:r w:rsidRPr="00514066">
        <w:rPr>
          <w:rFonts w:ascii="Times New Roman" w:hAnsi="Times New Roman" w:cs="Times New Roman"/>
          <w:i/>
          <w:iCs/>
          <w:color w:val="000000" w:themeColor="text1"/>
          <w:lang w:val="en-GB"/>
        </w:rPr>
        <w:t>Sporttrading</w:t>
      </w:r>
      <w:proofErr w:type="spellEnd"/>
      <w:r w:rsidRPr="00514066">
        <w:rPr>
          <w:rFonts w:ascii="Times New Roman" w:hAnsi="Times New Roman" w:cs="Times New Roman"/>
          <w:i/>
          <w:iCs/>
          <w:color w:val="000000" w:themeColor="text1"/>
          <w:lang w:val="en-GB"/>
        </w:rPr>
        <w:t xml:space="preserve"> v Converse</w:t>
      </w:r>
      <w:r w:rsidRPr="00514066">
        <w:rPr>
          <w:rFonts w:ascii="Times New Roman" w:hAnsi="Times New Roman" w:cs="Times New Roman"/>
          <w:color w:val="000000" w:themeColor="text1"/>
          <w:lang w:val="en-GB"/>
        </w:rPr>
        <w:t>, no revers</w:t>
      </w:r>
      <w:r>
        <w:rPr>
          <w:rFonts w:ascii="Times New Roman" w:hAnsi="Times New Roman" w:cs="Times New Roman"/>
          <w:color w:val="000000" w:themeColor="text1"/>
          <w:lang w:val="en-GB"/>
        </w:rPr>
        <w:t>al</w:t>
      </w:r>
      <w:r w:rsidRPr="00514066">
        <w:rPr>
          <w:rFonts w:ascii="Times New Roman" w:hAnsi="Times New Roman" w:cs="Times New Roman"/>
          <w:color w:val="000000" w:themeColor="text1"/>
          <w:lang w:val="en-GB"/>
        </w:rPr>
        <w:t xml:space="preserve"> of the burden of proof was deemed justified. This raises the following questions.</w:t>
      </w:r>
      <w:r w:rsidRPr="00514066">
        <w:rPr>
          <w:rFonts w:ascii="Times New Roman" w:hAnsi="Times New Roman" w:cs="Times New Roman"/>
          <w:vertAlign w:val="superscript"/>
          <w:lang w:val="en-GB"/>
        </w:rPr>
        <w:t xml:space="preserve"> </w:t>
      </w:r>
    </w:p>
    <w:p w14:paraId="4092D50E" w14:textId="2911695A" w:rsidR="00514066" w:rsidRPr="00514066" w:rsidRDefault="00514066" w:rsidP="00514066">
      <w:pPr>
        <w:rPr>
          <w:rFonts w:ascii="Times New Roman" w:hAnsi="Times New Roman" w:cs="Times New Roman"/>
          <w:lang w:val="en-GB"/>
        </w:rPr>
      </w:pPr>
      <w:r w:rsidRPr="00514066">
        <w:rPr>
          <w:rFonts w:ascii="Times New Roman" w:hAnsi="Times New Roman" w:cs="Times New Roman"/>
          <w:lang w:val="en-GB"/>
        </w:rPr>
        <w:t>When is the adoption of an exclusive distribution network by the trademark holder enough for a revers</w:t>
      </w:r>
      <w:r>
        <w:rPr>
          <w:rFonts w:ascii="Times New Roman" w:hAnsi="Times New Roman" w:cs="Times New Roman"/>
          <w:lang w:val="en-GB"/>
        </w:rPr>
        <w:t>al of the</w:t>
      </w:r>
      <w:r w:rsidRPr="00514066">
        <w:rPr>
          <w:rFonts w:ascii="Times New Roman" w:hAnsi="Times New Roman" w:cs="Times New Roman"/>
          <w:lang w:val="en-GB"/>
        </w:rPr>
        <w:t xml:space="preserve"> burden</w:t>
      </w:r>
      <w:r>
        <w:rPr>
          <w:rFonts w:ascii="Times New Roman" w:hAnsi="Times New Roman" w:cs="Times New Roman"/>
          <w:lang w:val="en-GB"/>
        </w:rPr>
        <w:t xml:space="preserve"> of proof</w:t>
      </w:r>
      <w:r w:rsidRPr="00514066">
        <w:rPr>
          <w:rFonts w:ascii="Times New Roman" w:hAnsi="Times New Roman" w:cs="Times New Roman"/>
          <w:lang w:val="en-GB"/>
        </w:rPr>
        <w:t xml:space="preserve">? Does the nature of the product, luxury or not, matter when the selling party claims a reversal of the burden of proof is warranted? </w:t>
      </w:r>
    </w:p>
    <w:p w14:paraId="2C25E781" w14:textId="78539CC1" w:rsidR="00514066" w:rsidRDefault="00514066" w:rsidP="00514066">
      <w:pPr>
        <w:rPr>
          <w:rFonts w:ascii="Times New Roman" w:hAnsi="Times New Roman" w:cs="Times New Roman"/>
          <w:lang w:val="en-GB"/>
        </w:rPr>
      </w:pPr>
      <w:r w:rsidRPr="00514066">
        <w:rPr>
          <w:rFonts w:ascii="Times New Roman" w:hAnsi="Times New Roman" w:cs="Times New Roman"/>
          <w:lang w:val="en-GB"/>
        </w:rPr>
        <w:t xml:space="preserve">What if it is made ostentatiously clear he is not part of the exclusive distribution network of the trademark holder? Are there other market distribution systems that could warrant a reversal of the burden of proof? </w:t>
      </w:r>
      <w:r w:rsidRPr="00514066">
        <w:rPr>
          <w:rFonts w:ascii="Times New Roman" w:hAnsi="Times New Roman" w:cs="Times New Roman"/>
          <w:vertAlign w:val="superscript"/>
          <w:lang w:val="en-GB"/>
        </w:rPr>
        <w:footnoteReference w:id="5"/>
      </w:r>
    </w:p>
    <w:p w14:paraId="3AB182BD" w14:textId="77777777" w:rsidR="00224A83" w:rsidRPr="00514066" w:rsidRDefault="00224A83" w:rsidP="00514066">
      <w:pPr>
        <w:rPr>
          <w:rFonts w:ascii="Times New Roman" w:hAnsi="Times New Roman" w:cs="Times New Roman"/>
          <w:b/>
          <w:bCs/>
          <w:color w:val="000000" w:themeColor="text1"/>
          <w:lang w:val="en-GB"/>
        </w:rPr>
      </w:pPr>
    </w:p>
    <w:p w14:paraId="452F1608" w14:textId="77777777" w:rsidR="00514066" w:rsidRPr="00514066" w:rsidRDefault="00514066" w:rsidP="00514066">
      <w:pPr>
        <w:pStyle w:val="BrauwK2"/>
        <w:rPr>
          <w:rFonts w:ascii="Times New Roman" w:hAnsi="Times New Roman"/>
          <w:sz w:val="22"/>
          <w:lang w:val="en-GB"/>
        </w:rPr>
      </w:pPr>
      <w:bookmarkStart w:id="2" w:name="_Toc126335479"/>
      <w:r w:rsidRPr="00514066">
        <w:rPr>
          <w:rFonts w:ascii="Times New Roman" w:hAnsi="Times New Roman"/>
          <w:sz w:val="22"/>
          <w:lang w:val="en-GB"/>
        </w:rPr>
        <w:t>Issues concerning repair</w:t>
      </w:r>
      <w:bookmarkEnd w:id="2"/>
    </w:p>
    <w:p w14:paraId="3A6D0666" w14:textId="7B6A5651"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In the </w:t>
      </w:r>
      <w:r w:rsidRPr="00514066">
        <w:rPr>
          <w:rFonts w:ascii="Times New Roman" w:hAnsi="Times New Roman" w:cs="Times New Roman"/>
          <w:i/>
          <w:iCs/>
          <w:color w:val="000000" w:themeColor="text1"/>
          <w:lang w:val="en-GB"/>
        </w:rPr>
        <w:t>EPAL</w:t>
      </w:r>
      <w:r w:rsidRPr="00514066">
        <w:rPr>
          <w:rFonts w:ascii="Times New Roman" w:hAnsi="Times New Roman" w:cs="Times New Roman"/>
          <w:color w:val="000000" w:themeColor="text1"/>
          <w:lang w:val="en-GB"/>
        </w:rPr>
        <w:t xml:space="preserve"> case, </w:t>
      </w:r>
      <w:r w:rsidR="00156EF7">
        <w:rPr>
          <w:rFonts w:ascii="Times New Roman" w:hAnsi="Times New Roman" w:cs="Times New Roman"/>
          <w:color w:val="000000" w:themeColor="text1"/>
          <w:lang w:val="en-GB"/>
        </w:rPr>
        <w:t xml:space="preserve">which basically deals with the repair of branded wooden pallets, </w:t>
      </w:r>
      <w:r w:rsidRPr="00514066">
        <w:rPr>
          <w:rFonts w:ascii="Times New Roman" w:hAnsi="Times New Roman" w:cs="Times New Roman"/>
          <w:color w:val="000000" w:themeColor="text1"/>
          <w:lang w:val="en-GB"/>
        </w:rPr>
        <w:t xml:space="preserve">the Dutch Supreme Court </w:t>
      </w:r>
      <w:r w:rsidR="00224A83">
        <w:rPr>
          <w:rFonts w:ascii="Times New Roman" w:hAnsi="Times New Roman" w:cs="Times New Roman"/>
          <w:color w:val="000000" w:themeColor="text1"/>
          <w:lang w:val="en-GB"/>
        </w:rPr>
        <w:t>reversed</w:t>
      </w:r>
      <w:r w:rsidRPr="00514066">
        <w:rPr>
          <w:rFonts w:ascii="Times New Roman" w:hAnsi="Times New Roman" w:cs="Times New Roman"/>
          <w:color w:val="000000" w:themeColor="text1"/>
          <w:lang w:val="en-GB"/>
        </w:rPr>
        <w:t xml:space="preserve"> several questions</w:t>
      </w:r>
      <w:r w:rsidR="00224A83">
        <w:rPr>
          <w:rFonts w:ascii="Times New Roman" w:hAnsi="Times New Roman" w:cs="Times New Roman"/>
          <w:color w:val="000000" w:themeColor="text1"/>
          <w:lang w:val="en-GB"/>
        </w:rPr>
        <w:t xml:space="preserve"> to the ECJ</w:t>
      </w:r>
      <w:r w:rsidRPr="00514066">
        <w:rPr>
          <w:rFonts w:ascii="Times New Roman" w:hAnsi="Times New Roman" w:cs="Times New Roman"/>
          <w:color w:val="000000" w:themeColor="text1"/>
          <w:lang w:val="en-GB"/>
        </w:rPr>
        <w:t xml:space="preserve"> in a, now </w:t>
      </w:r>
      <w:r w:rsidR="00224A83">
        <w:rPr>
          <w:rFonts w:ascii="Times New Roman" w:hAnsi="Times New Roman" w:cs="Times New Roman"/>
          <w:color w:val="000000" w:themeColor="text1"/>
          <w:lang w:val="en-GB"/>
        </w:rPr>
        <w:t>withdrawn</w:t>
      </w:r>
      <w:r w:rsidRPr="00514066">
        <w:rPr>
          <w:rFonts w:ascii="Times New Roman" w:hAnsi="Times New Roman" w:cs="Times New Roman"/>
          <w:color w:val="000000" w:themeColor="text1"/>
          <w:lang w:val="en-GB"/>
        </w:rPr>
        <w:t xml:space="preserve">, </w:t>
      </w:r>
      <w:r w:rsidR="00224A83">
        <w:rPr>
          <w:rFonts w:ascii="Times New Roman" w:hAnsi="Times New Roman" w:cs="Times New Roman"/>
          <w:color w:val="000000" w:themeColor="text1"/>
          <w:lang w:val="en-GB"/>
        </w:rPr>
        <w:t>case regarding</w:t>
      </w:r>
      <w:r w:rsidRPr="00514066">
        <w:rPr>
          <w:rFonts w:ascii="Times New Roman" w:hAnsi="Times New Roman" w:cs="Times New Roman"/>
          <w:color w:val="000000" w:themeColor="text1"/>
          <w:lang w:val="en-GB"/>
        </w:rPr>
        <w:t xml:space="preserve"> the repair of trademarked goods (</w:t>
      </w:r>
      <w:r w:rsidR="00224A83">
        <w:rPr>
          <w:rFonts w:ascii="Times New Roman" w:hAnsi="Times New Roman" w:cs="Times New Roman"/>
          <w:color w:val="000000" w:themeColor="text1"/>
          <w:lang w:val="en-GB"/>
        </w:rPr>
        <w:t xml:space="preserve">in unofficial </w:t>
      </w:r>
      <w:r w:rsidRPr="00514066">
        <w:rPr>
          <w:rFonts w:ascii="Times New Roman" w:hAnsi="Times New Roman" w:cs="Times New Roman"/>
          <w:color w:val="000000" w:themeColor="text1"/>
          <w:lang w:val="en-GB"/>
        </w:rPr>
        <w:t xml:space="preserve">translation): </w:t>
      </w:r>
      <w:r w:rsidRPr="00514066">
        <w:rPr>
          <w:rStyle w:val="FootnoteReference"/>
          <w:rFonts w:ascii="Times New Roman" w:hAnsi="Times New Roman" w:cs="Times New Roman"/>
          <w:color w:val="000000" w:themeColor="text1"/>
          <w:lang w:val="en-GB"/>
        </w:rPr>
        <w:footnoteReference w:id="6"/>
      </w:r>
    </w:p>
    <w:p w14:paraId="79EE022D" w14:textId="3E6325C1"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1(a) Does a successful appeal on Article 1</w:t>
      </w:r>
      <w:r w:rsidR="00224A83">
        <w:rPr>
          <w:rFonts w:ascii="Times New Roman" w:hAnsi="Times New Roman" w:cs="Times New Roman"/>
          <w:i/>
          <w:lang w:val="en-GB"/>
        </w:rPr>
        <w:t>5</w:t>
      </w:r>
      <w:r w:rsidRPr="00514066">
        <w:rPr>
          <w:rFonts w:ascii="Times New Roman" w:hAnsi="Times New Roman" w:cs="Times New Roman"/>
          <w:i/>
          <w:lang w:val="en-GB"/>
        </w:rPr>
        <w:t xml:space="preserve">(2) </w:t>
      </w:r>
      <w:r w:rsidR="00224A83">
        <w:rPr>
          <w:rFonts w:ascii="Times New Roman" w:hAnsi="Times New Roman" w:cs="Times New Roman"/>
          <w:i/>
          <w:lang w:val="en-GB"/>
        </w:rPr>
        <w:t>EUTMR</w:t>
      </w:r>
      <w:r w:rsidR="00224A83">
        <w:rPr>
          <w:rStyle w:val="FootnoteReference"/>
          <w:rFonts w:ascii="Times New Roman" w:hAnsi="Times New Roman" w:cs="Times New Roman"/>
          <w:i/>
        </w:rPr>
        <w:footnoteReference w:id="7"/>
      </w:r>
      <w:r w:rsidRPr="00514066">
        <w:rPr>
          <w:rFonts w:ascii="Times New Roman" w:hAnsi="Times New Roman" w:cs="Times New Roman"/>
          <w:i/>
          <w:lang w:val="en-GB"/>
        </w:rPr>
        <w:t xml:space="preserve"> require that further commercialization of the trademark products in question is or is likely to be detrimental to one or more of the functions of the trademark referred to above? </w:t>
      </w:r>
    </w:p>
    <w:p w14:paraId="519C2261" w14:textId="77777777"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(b) If the answer to question 1(a) is yes; is there any additional requirement than the presence of 'legitimate reasons'?</w:t>
      </w:r>
    </w:p>
    <w:p w14:paraId="3C488FB9" w14:textId="4F7E9E06"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 xml:space="preserve">(c) For a successful appeal </w:t>
      </w:r>
      <w:r w:rsidR="00224A83">
        <w:rPr>
          <w:rFonts w:ascii="Times New Roman" w:hAnsi="Times New Roman" w:cs="Times New Roman"/>
          <w:i/>
          <w:lang w:val="en-GB"/>
        </w:rPr>
        <w:t>based on</w:t>
      </w:r>
      <w:r w:rsidRPr="00514066">
        <w:rPr>
          <w:rFonts w:ascii="Times New Roman" w:hAnsi="Times New Roman" w:cs="Times New Roman"/>
          <w:i/>
          <w:lang w:val="en-GB"/>
        </w:rPr>
        <w:t xml:space="preserve"> Article 1</w:t>
      </w:r>
      <w:r w:rsidR="00156EF7">
        <w:rPr>
          <w:rFonts w:ascii="Times New Roman" w:hAnsi="Times New Roman" w:cs="Times New Roman"/>
          <w:i/>
          <w:lang w:val="en-GB"/>
        </w:rPr>
        <w:t>5</w:t>
      </w:r>
      <w:r w:rsidRPr="00514066">
        <w:rPr>
          <w:rFonts w:ascii="Times New Roman" w:hAnsi="Times New Roman" w:cs="Times New Roman"/>
          <w:i/>
          <w:lang w:val="en-GB"/>
        </w:rPr>
        <w:t xml:space="preserve">(2) </w:t>
      </w:r>
      <w:r w:rsidR="00224A83">
        <w:rPr>
          <w:rFonts w:ascii="Times New Roman" w:hAnsi="Times New Roman" w:cs="Times New Roman"/>
          <w:i/>
          <w:lang w:val="en-GB"/>
        </w:rPr>
        <w:t>EU</w:t>
      </w:r>
      <w:r w:rsidRPr="00514066">
        <w:rPr>
          <w:rFonts w:ascii="Times New Roman" w:hAnsi="Times New Roman" w:cs="Times New Roman"/>
          <w:i/>
          <w:lang w:val="en-GB"/>
        </w:rPr>
        <w:t>TMR, is it always sufficient that one or more functions of the trademark referred to in Question 1(a) is adversely affected?</w:t>
      </w:r>
    </w:p>
    <w:p w14:paraId="134F2CE2" w14:textId="4740DA92"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2(a) Can it be said in general terms that a trademark holder may, under Article 1</w:t>
      </w:r>
      <w:r w:rsidR="00156EF7">
        <w:rPr>
          <w:rFonts w:ascii="Times New Roman" w:hAnsi="Times New Roman" w:cs="Times New Roman"/>
          <w:i/>
          <w:lang w:val="en-GB"/>
        </w:rPr>
        <w:t>5</w:t>
      </w:r>
      <w:r w:rsidRPr="00514066">
        <w:rPr>
          <w:rFonts w:ascii="Times New Roman" w:hAnsi="Times New Roman" w:cs="Times New Roman"/>
          <w:i/>
          <w:lang w:val="en-GB"/>
        </w:rPr>
        <w:t xml:space="preserve">(2) </w:t>
      </w:r>
      <w:r w:rsidR="00156EF7">
        <w:rPr>
          <w:rFonts w:ascii="Times New Roman" w:hAnsi="Times New Roman" w:cs="Times New Roman"/>
          <w:i/>
          <w:lang w:val="en-GB"/>
        </w:rPr>
        <w:t>EU</w:t>
      </w:r>
      <w:r w:rsidRPr="00514066">
        <w:rPr>
          <w:rFonts w:ascii="Times New Roman" w:hAnsi="Times New Roman" w:cs="Times New Roman"/>
          <w:i/>
          <w:lang w:val="en-GB"/>
        </w:rPr>
        <w:t>TMR, oppose the further marketing of goods under his trademark if those goods have been repaired by persons other than the trademark proprietor or persons whom he has authorized to do so?</w:t>
      </w:r>
    </w:p>
    <w:p w14:paraId="56CBA655" w14:textId="57B1DCFF"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 xml:space="preserve">(b) If the answer to question 2(a) is in the negative, does the existence of 'legitimate reasons' </w:t>
      </w:r>
      <w:r w:rsidR="00156EF7">
        <w:rPr>
          <w:rFonts w:ascii="Times New Roman" w:hAnsi="Times New Roman" w:cs="Times New Roman"/>
          <w:i/>
          <w:lang w:val="en-GB"/>
        </w:rPr>
        <w:t>(</w:t>
      </w:r>
      <w:r w:rsidRPr="00514066">
        <w:rPr>
          <w:rFonts w:ascii="Times New Roman" w:hAnsi="Times New Roman" w:cs="Times New Roman"/>
          <w:i/>
          <w:lang w:val="en-GB"/>
        </w:rPr>
        <w:t>within the meaning of Article 1</w:t>
      </w:r>
      <w:r w:rsidR="00156EF7">
        <w:rPr>
          <w:rFonts w:ascii="Times New Roman" w:hAnsi="Times New Roman" w:cs="Times New Roman"/>
          <w:i/>
          <w:lang w:val="en-GB"/>
        </w:rPr>
        <w:t>5</w:t>
      </w:r>
      <w:r w:rsidRPr="00514066">
        <w:rPr>
          <w:rFonts w:ascii="Times New Roman" w:hAnsi="Times New Roman" w:cs="Times New Roman"/>
          <w:i/>
          <w:lang w:val="en-GB"/>
        </w:rPr>
        <w:t xml:space="preserve">(2) </w:t>
      </w:r>
      <w:r w:rsidR="00156EF7">
        <w:rPr>
          <w:rFonts w:ascii="Times New Roman" w:hAnsi="Times New Roman" w:cs="Times New Roman"/>
          <w:i/>
          <w:lang w:val="en-US"/>
        </w:rPr>
        <w:t>EU</w:t>
      </w:r>
      <w:r w:rsidRPr="00514066">
        <w:rPr>
          <w:rFonts w:ascii="Times New Roman" w:hAnsi="Times New Roman" w:cs="Times New Roman"/>
          <w:i/>
          <w:lang w:val="en-GB"/>
        </w:rPr>
        <w:t>TMR</w:t>
      </w:r>
      <w:r w:rsidR="00156EF7">
        <w:rPr>
          <w:rFonts w:ascii="Times New Roman" w:hAnsi="Times New Roman" w:cs="Times New Roman"/>
          <w:i/>
          <w:lang w:val="en-GB"/>
        </w:rPr>
        <w:t>)</w:t>
      </w:r>
      <w:r w:rsidRPr="00514066">
        <w:rPr>
          <w:rFonts w:ascii="Times New Roman" w:hAnsi="Times New Roman" w:cs="Times New Roman"/>
          <w:i/>
          <w:lang w:val="en-GB"/>
        </w:rPr>
        <w:t xml:space="preserve"> after repair by a third party of goods put into circulation by or with the consent of the trademark proprietor</w:t>
      </w:r>
      <w:r w:rsidR="00156EF7">
        <w:rPr>
          <w:rFonts w:ascii="Times New Roman" w:hAnsi="Times New Roman" w:cs="Times New Roman"/>
          <w:i/>
          <w:lang w:val="en-GB"/>
        </w:rPr>
        <w:t>,</w:t>
      </w:r>
      <w:r w:rsidRPr="00514066">
        <w:rPr>
          <w:rFonts w:ascii="Times New Roman" w:hAnsi="Times New Roman" w:cs="Times New Roman"/>
          <w:i/>
          <w:lang w:val="en-GB"/>
        </w:rPr>
        <w:t xml:space="preserve"> depend on the nature of the goods or the nature of the repair carried out, or on other circumstances, such as special circumstances </w:t>
      </w:r>
      <w:r w:rsidR="00156EF7">
        <w:rPr>
          <w:rFonts w:ascii="Times New Roman" w:hAnsi="Times New Roman" w:cs="Times New Roman"/>
          <w:i/>
          <w:lang w:val="en-GB"/>
        </w:rPr>
        <w:t>like</w:t>
      </w:r>
      <w:r w:rsidRPr="00514066">
        <w:rPr>
          <w:rFonts w:ascii="Times New Roman" w:hAnsi="Times New Roman" w:cs="Times New Roman"/>
          <w:i/>
          <w:lang w:val="en-GB"/>
        </w:rPr>
        <w:t xml:space="preserve"> those of the present case?</w:t>
      </w:r>
    </w:p>
    <w:p w14:paraId="18E07BE1" w14:textId="5B73EA39"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lastRenderedPageBreak/>
        <w:t xml:space="preserve">3(a) Is opposition </w:t>
      </w:r>
      <w:r w:rsidR="00156EF7">
        <w:rPr>
          <w:rFonts w:ascii="Times New Roman" w:hAnsi="Times New Roman" w:cs="Times New Roman"/>
          <w:i/>
          <w:lang w:val="en-GB"/>
        </w:rPr>
        <w:t xml:space="preserve">by </w:t>
      </w:r>
      <w:r w:rsidRPr="00514066">
        <w:rPr>
          <w:rFonts w:ascii="Times New Roman" w:hAnsi="Times New Roman" w:cs="Times New Roman"/>
          <w:i/>
          <w:lang w:val="en-GB"/>
        </w:rPr>
        <w:t xml:space="preserve">the trademark proprietor </w:t>
      </w:r>
      <w:r w:rsidR="00156EF7">
        <w:rPr>
          <w:rFonts w:ascii="Times New Roman" w:hAnsi="Times New Roman" w:cs="Times New Roman"/>
          <w:i/>
          <w:lang w:val="en-GB"/>
        </w:rPr>
        <w:t xml:space="preserve">(in the sense of art 15(2) EUTMR) </w:t>
      </w:r>
      <w:r w:rsidRPr="00514066">
        <w:rPr>
          <w:rFonts w:ascii="Times New Roman" w:hAnsi="Times New Roman" w:cs="Times New Roman"/>
          <w:i/>
          <w:lang w:val="en-GB"/>
        </w:rPr>
        <w:t>to further commercialization of goods repaired by third parties</w:t>
      </w:r>
      <w:r w:rsidR="00156EF7">
        <w:rPr>
          <w:rFonts w:ascii="Times New Roman" w:hAnsi="Times New Roman" w:cs="Times New Roman"/>
          <w:i/>
          <w:lang w:val="en-GB"/>
        </w:rPr>
        <w:t>,</w:t>
      </w:r>
      <w:r w:rsidRPr="00514066">
        <w:rPr>
          <w:rFonts w:ascii="Times New Roman" w:hAnsi="Times New Roman" w:cs="Times New Roman"/>
          <w:i/>
          <w:lang w:val="en-GB"/>
        </w:rPr>
        <w:t xml:space="preserve"> excluded if the trademark is used in a manner that cannot create the impression that there is an economic link between the trademark proprietor (or its licensees) and the party further commercializing the goods, for example if, after the repair, it is clear by removal of the trademark and/or additional labe</w:t>
      </w:r>
      <w:r w:rsidR="00156EF7">
        <w:rPr>
          <w:rFonts w:ascii="Times New Roman" w:hAnsi="Times New Roman" w:cs="Times New Roman"/>
          <w:i/>
          <w:lang w:val="en-GB"/>
        </w:rPr>
        <w:t>l</w:t>
      </w:r>
      <w:r w:rsidRPr="00514066">
        <w:rPr>
          <w:rFonts w:ascii="Times New Roman" w:hAnsi="Times New Roman" w:cs="Times New Roman"/>
          <w:i/>
          <w:lang w:val="en-GB"/>
        </w:rPr>
        <w:t>ling of the goods</w:t>
      </w:r>
      <w:r w:rsidR="00156EF7">
        <w:rPr>
          <w:rFonts w:ascii="Times New Roman" w:hAnsi="Times New Roman" w:cs="Times New Roman"/>
          <w:i/>
          <w:lang w:val="en-GB"/>
        </w:rPr>
        <w:t>,</w:t>
      </w:r>
      <w:r w:rsidRPr="00514066">
        <w:rPr>
          <w:rFonts w:ascii="Times New Roman" w:hAnsi="Times New Roman" w:cs="Times New Roman"/>
          <w:i/>
          <w:lang w:val="en-GB"/>
        </w:rPr>
        <w:t xml:space="preserve"> that the repair was not carried out by or with the consent of the trademark proprietor or a licensee thereof?</w:t>
      </w:r>
    </w:p>
    <w:p w14:paraId="6B614DEB" w14:textId="5323971D"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 xml:space="preserve">(b) Does the answer to the </w:t>
      </w:r>
      <w:r w:rsidR="00156EF7">
        <w:rPr>
          <w:rFonts w:ascii="Times New Roman" w:hAnsi="Times New Roman" w:cs="Times New Roman"/>
          <w:i/>
          <w:lang w:val="en-GB"/>
        </w:rPr>
        <w:t xml:space="preserve">previous </w:t>
      </w:r>
      <w:r w:rsidRPr="00514066">
        <w:rPr>
          <w:rFonts w:ascii="Times New Roman" w:hAnsi="Times New Roman" w:cs="Times New Roman"/>
          <w:i/>
          <w:lang w:val="en-GB"/>
        </w:rPr>
        <w:t>question</w:t>
      </w:r>
      <w:r w:rsidR="00156EF7">
        <w:rPr>
          <w:rFonts w:ascii="Times New Roman" w:hAnsi="Times New Roman" w:cs="Times New Roman"/>
          <w:i/>
          <w:lang w:val="en-GB"/>
        </w:rPr>
        <w:t xml:space="preserve"> depend on</w:t>
      </w:r>
      <w:r w:rsidRPr="00514066">
        <w:rPr>
          <w:rFonts w:ascii="Times New Roman" w:hAnsi="Times New Roman" w:cs="Times New Roman"/>
          <w:i/>
          <w:lang w:val="en-GB"/>
        </w:rPr>
        <w:t xml:space="preserve"> whether the mark can be easily removed without detriment to the technical soundness or practical serviceability of the goods have any significance in this connection?</w:t>
      </w:r>
    </w:p>
    <w:p w14:paraId="0EF7317A" w14:textId="6C6A6839" w:rsidR="00514066" w:rsidRPr="00514066" w:rsidRDefault="00514066" w:rsidP="00514066">
      <w:pPr>
        <w:ind w:left="709"/>
        <w:rPr>
          <w:rFonts w:ascii="Times New Roman" w:hAnsi="Times New Roman" w:cs="Times New Roman"/>
          <w:i/>
          <w:lang w:val="en-GB"/>
        </w:rPr>
      </w:pPr>
      <w:r w:rsidRPr="00514066">
        <w:rPr>
          <w:rFonts w:ascii="Times New Roman" w:hAnsi="Times New Roman" w:cs="Times New Roman"/>
          <w:i/>
          <w:lang w:val="en-GB"/>
        </w:rPr>
        <w:t xml:space="preserve">4) Does the answer to the foregoing questions depend on whether the mark is a collective mark under the </w:t>
      </w:r>
      <w:r w:rsidR="00156EF7">
        <w:rPr>
          <w:rFonts w:ascii="Times New Roman" w:hAnsi="Times New Roman" w:cs="Times New Roman"/>
          <w:i/>
          <w:lang w:val="en-GB"/>
        </w:rPr>
        <w:t>EUTMR</w:t>
      </w:r>
      <w:r w:rsidRPr="00514066">
        <w:rPr>
          <w:rFonts w:ascii="Times New Roman" w:hAnsi="Times New Roman" w:cs="Times New Roman"/>
          <w:i/>
          <w:lang w:val="en-GB"/>
        </w:rPr>
        <w:t xml:space="preserve">, if so, in what respect? </w:t>
      </w:r>
    </w:p>
    <w:p w14:paraId="5CC30DD9" w14:textId="77777777" w:rsidR="00514066" w:rsidRPr="00514066" w:rsidRDefault="00514066" w:rsidP="00514066">
      <w:pPr>
        <w:rPr>
          <w:rFonts w:ascii="Times New Roman" w:hAnsi="Times New Roman" w:cs="Times New Roman"/>
          <w:lang w:val="en-GB"/>
        </w:rPr>
      </w:pPr>
      <w:r w:rsidRPr="00514066">
        <w:rPr>
          <w:rFonts w:ascii="Times New Roman" w:hAnsi="Times New Roman" w:cs="Times New Roman"/>
          <w:lang w:val="en-GB"/>
        </w:rPr>
        <w:t xml:space="preserve">Question 1 is relevant to the sustainability discussion. The function theory considers the function of the brand from the perspective of the brand. And somewhat from that of the consumer. In the broader context of sustainability, especially corporate due diligence, there is the concept of "double materiality" in risk analysis. By analogy, one might question this one-sided approach of the function theory which solely mitigates external risks to a brand. A contemporary approach to the function theory could internalize the risks that the brand holds for the environment. </w:t>
      </w:r>
      <w:r w:rsidRPr="00514066">
        <w:rPr>
          <w:rStyle w:val="FootnoteReference"/>
          <w:rFonts w:ascii="Times New Roman" w:hAnsi="Times New Roman" w:cs="Times New Roman"/>
          <w:lang w:val="en-GB"/>
        </w:rPr>
        <w:footnoteReference w:id="8"/>
      </w:r>
    </w:p>
    <w:p w14:paraId="43648457" w14:textId="15BEA3D1" w:rsidR="00514066" w:rsidRPr="00514066" w:rsidRDefault="00514066" w:rsidP="00514066">
      <w:pPr>
        <w:rPr>
          <w:rFonts w:ascii="Times New Roman" w:hAnsi="Times New Roman" w:cs="Times New Roman"/>
          <w:lang w:val="en-GB"/>
        </w:rPr>
      </w:pPr>
      <w:r w:rsidRPr="00514066">
        <w:rPr>
          <w:rFonts w:ascii="Times New Roman" w:hAnsi="Times New Roman" w:cs="Times New Roman"/>
          <w:lang w:val="en-GB"/>
        </w:rPr>
        <w:t xml:space="preserve">Several practical questions can also be raised in response to the </w:t>
      </w:r>
      <w:r w:rsidR="00156EF7">
        <w:rPr>
          <w:rFonts w:ascii="Times New Roman" w:hAnsi="Times New Roman" w:cs="Times New Roman"/>
          <w:lang w:val="en-GB"/>
        </w:rPr>
        <w:t>questions raised</w:t>
      </w:r>
      <w:r w:rsidRPr="00514066">
        <w:rPr>
          <w:rFonts w:ascii="Times New Roman" w:hAnsi="Times New Roman" w:cs="Times New Roman"/>
          <w:lang w:val="en-GB"/>
        </w:rPr>
        <w:t xml:space="preserve"> in</w:t>
      </w:r>
      <w:r w:rsidR="00156EF7">
        <w:rPr>
          <w:rFonts w:ascii="Times New Roman" w:hAnsi="Times New Roman" w:cs="Times New Roman"/>
          <w:lang w:val="en-GB"/>
        </w:rPr>
        <w:t xml:space="preserve"> the</w:t>
      </w:r>
      <w:r w:rsidRPr="00514066">
        <w:rPr>
          <w:rFonts w:ascii="Times New Roman" w:hAnsi="Times New Roman" w:cs="Times New Roman"/>
          <w:lang w:val="en-GB"/>
        </w:rPr>
        <w:t xml:space="preserve"> EPAL</w:t>
      </w:r>
      <w:r w:rsidR="00156EF7">
        <w:rPr>
          <w:rFonts w:ascii="Times New Roman" w:hAnsi="Times New Roman" w:cs="Times New Roman"/>
          <w:lang w:val="en-GB"/>
        </w:rPr>
        <w:t xml:space="preserve"> case</w:t>
      </w:r>
      <w:r w:rsidRPr="00514066">
        <w:rPr>
          <w:rFonts w:ascii="Times New Roman" w:hAnsi="Times New Roman" w:cs="Times New Roman"/>
          <w:lang w:val="en-GB"/>
        </w:rPr>
        <w:t>. Is it harmful to a trademark holder when a third-party repairs and resells a product because it conflicts with the function of the trademark to indicate the origin of a product?</w:t>
      </w:r>
    </w:p>
    <w:p w14:paraId="0235DB58" w14:textId="440F8B63" w:rsidR="00514066" w:rsidRPr="00514066" w:rsidRDefault="00514066" w:rsidP="00514066">
      <w:pPr>
        <w:rPr>
          <w:rFonts w:ascii="Times New Roman" w:hAnsi="Times New Roman" w:cs="Times New Roman"/>
          <w:lang w:val="en-GB"/>
        </w:rPr>
      </w:pPr>
      <w:r w:rsidRPr="00514066">
        <w:rPr>
          <w:rFonts w:ascii="Times New Roman" w:hAnsi="Times New Roman" w:cs="Times New Roman"/>
          <w:lang w:val="en-GB"/>
        </w:rPr>
        <w:t xml:space="preserve">If a repair is not performed with sufficient precision and the consumer is not informed properly of the involvement of a third party, could this possibly damage the reputation </w:t>
      </w:r>
      <w:proofErr w:type="spellStart"/>
      <w:r w:rsidR="00156EF7">
        <w:rPr>
          <w:rFonts w:ascii="Times New Roman" w:hAnsi="Times New Roman" w:cs="Times New Roman"/>
          <w:lang w:val="en-GB"/>
        </w:rPr>
        <w:t>or</w:t>
      </w:r>
      <w:proofErr w:type="spellEnd"/>
      <w:r w:rsidR="00156EF7">
        <w:rPr>
          <w:rFonts w:ascii="Times New Roman" w:hAnsi="Times New Roman" w:cs="Times New Roman"/>
          <w:lang w:val="en-GB"/>
        </w:rPr>
        <w:t xml:space="preserve"> quality guarantee function </w:t>
      </w:r>
      <w:r w:rsidRPr="00514066">
        <w:rPr>
          <w:rFonts w:ascii="Times New Roman" w:hAnsi="Times New Roman" w:cs="Times New Roman"/>
          <w:lang w:val="en-GB"/>
        </w:rPr>
        <w:t xml:space="preserve">of the trademark? Would a physical adjustment to the visible mark be necessary/sufficient to avoid consumer confusion? Or would a verbal communication suffice? </w:t>
      </w:r>
      <w:r w:rsidRPr="00514066">
        <w:rPr>
          <w:rStyle w:val="FootnoteReference"/>
          <w:rFonts w:ascii="Times New Roman" w:hAnsi="Times New Roman" w:cs="Times New Roman"/>
        </w:rPr>
        <w:footnoteReference w:id="9"/>
      </w:r>
      <w:r w:rsidRPr="00514066">
        <w:rPr>
          <w:rFonts w:ascii="Times New Roman" w:hAnsi="Times New Roman" w:cs="Times New Roman"/>
          <w:lang w:val="en-GB"/>
        </w:rPr>
        <w:t xml:space="preserve"> </w:t>
      </w:r>
    </w:p>
    <w:p w14:paraId="672C7B5C" w14:textId="77777777" w:rsidR="00514066" w:rsidRPr="00514066" w:rsidRDefault="00514066" w:rsidP="00514066">
      <w:pPr>
        <w:rPr>
          <w:rFonts w:ascii="Times New Roman" w:hAnsi="Times New Roman" w:cs="Times New Roman"/>
          <w:b/>
          <w:bCs/>
          <w:color w:val="000000" w:themeColor="text1"/>
          <w:lang w:val="en-GB"/>
        </w:rPr>
      </w:pPr>
    </w:p>
    <w:p w14:paraId="308561B3" w14:textId="77777777" w:rsidR="00514066" w:rsidRPr="00514066" w:rsidRDefault="00514066" w:rsidP="00514066">
      <w:pPr>
        <w:pStyle w:val="BrauwK2"/>
        <w:rPr>
          <w:rFonts w:ascii="Times New Roman" w:hAnsi="Times New Roman"/>
          <w:sz w:val="22"/>
          <w:lang w:val="en-GB"/>
        </w:rPr>
      </w:pPr>
      <w:r w:rsidRPr="00514066">
        <w:rPr>
          <w:rFonts w:ascii="Times New Roman" w:hAnsi="Times New Roman"/>
          <w:sz w:val="22"/>
          <w:lang w:val="en-GB"/>
        </w:rPr>
        <w:t xml:space="preserve"> </w:t>
      </w:r>
      <w:bookmarkStart w:id="3" w:name="_Toc126335480"/>
      <w:r w:rsidRPr="00514066">
        <w:rPr>
          <w:rFonts w:ascii="Times New Roman" w:hAnsi="Times New Roman"/>
          <w:sz w:val="22"/>
          <w:lang w:val="en-GB"/>
        </w:rPr>
        <w:t>Refurbishment</w:t>
      </w:r>
      <w:bookmarkEnd w:id="3"/>
    </w:p>
    <w:p w14:paraId="0801E261" w14:textId="12F4DA03"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Refurbishment of a product can include repairs, but not necessarily so. When a seller refurbishes a product, he performs all possible maintenance to bring it as close to a new-state as possible. Therefore, some overlap with the questions in the previous paragraph will apply, especially when the seller does an insufficient job. A refurbishment may also include replacing parts, </w:t>
      </w:r>
      <w:r w:rsidR="00156EF7">
        <w:rPr>
          <w:rFonts w:ascii="Times New Roman" w:hAnsi="Times New Roman" w:cs="Times New Roman"/>
          <w:color w:val="000000" w:themeColor="text1"/>
          <w:lang w:val="en-GB"/>
        </w:rPr>
        <w:t>while</w:t>
      </w:r>
      <w:r w:rsidRPr="00514066">
        <w:rPr>
          <w:rFonts w:ascii="Times New Roman" w:hAnsi="Times New Roman" w:cs="Times New Roman"/>
          <w:color w:val="000000" w:themeColor="text1"/>
          <w:lang w:val="en-GB"/>
        </w:rPr>
        <w:t xml:space="preserve"> spare parts can originate from either authorised or unauthorised sellers. </w:t>
      </w:r>
    </w:p>
    <w:p w14:paraId="481EB51D" w14:textId="173BF9CA"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Some companies, like Apple, fiercely litigate to control the production and distribution of spare parts.</w:t>
      </w:r>
      <w:r w:rsidRPr="00514066">
        <w:rPr>
          <w:rStyle w:val="FootnoteReference"/>
          <w:rFonts w:ascii="Times New Roman" w:hAnsi="Times New Roman" w:cs="Times New Roman"/>
          <w:color w:val="000000" w:themeColor="text1"/>
        </w:rPr>
        <w:footnoteReference w:id="10"/>
      </w:r>
      <w:r w:rsidRPr="00514066">
        <w:rPr>
          <w:rFonts w:ascii="Times New Roman" w:hAnsi="Times New Roman" w:cs="Times New Roman"/>
          <w:color w:val="000000" w:themeColor="text1"/>
          <w:lang w:val="en-GB"/>
        </w:rPr>
        <w:t xml:space="preserve"> A case before the Norwegian Supreme Court ("</w:t>
      </w:r>
      <w:r w:rsidRPr="00514066">
        <w:rPr>
          <w:rFonts w:ascii="Times New Roman" w:hAnsi="Times New Roman" w:cs="Times New Roman"/>
          <w:b/>
          <w:bCs/>
          <w:color w:val="000000" w:themeColor="text1"/>
          <w:lang w:val="en-GB"/>
        </w:rPr>
        <w:t>NSC</w:t>
      </w:r>
      <w:r w:rsidRPr="00514066">
        <w:rPr>
          <w:rFonts w:ascii="Times New Roman" w:hAnsi="Times New Roman" w:cs="Times New Roman"/>
          <w:color w:val="000000" w:themeColor="text1"/>
          <w:lang w:val="en-GB"/>
        </w:rPr>
        <w:t>"), demonstrates how the use of replacement parts may conflict with trademark law.</w:t>
      </w:r>
      <w:r w:rsidRPr="00514066">
        <w:rPr>
          <w:rStyle w:val="FootnoteReference"/>
          <w:rFonts w:ascii="Times New Roman" w:hAnsi="Times New Roman" w:cs="Times New Roman"/>
          <w:color w:val="000000" w:themeColor="text1"/>
          <w:lang w:val="en-GB"/>
        </w:rPr>
        <w:t xml:space="preserve"> </w:t>
      </w:r>
      <w:r w:rsidRPr="00514066">
        <w:rPr>
          <w:rFonts w:ascii="Times New Roman" w:hAnsi="Times New Roman" w:cs="Times New Roman"/>
          <w:color w:val="000000" w:themeColor="text1"/>
          <w:lang w:val="en-GB"/>
        </w:rPr>
        <w:t xml:space="preserve">The seller of refurbished Apple goods used counterfeit screens for refurbishment. The seller used removable stickers to obscure a falsified Apple logo on the screens. </w:t>
      </w:r>
      <w:r w:rsidRPr="00514066">
        <w:rPr>
          <w:rStyle w:val="FootnoteReference"/>
          <w:rFonts w:ascii="Times New Roman" w:hAnsi="Times New Roman" w:cs="Times New Roman"/>
          <w:color w:val="000000" w:themeColor="text1"/>
        </w:rPr>
        <w:footnoteReference w:id="11"/>
      </w:r>
      <w:r w:rsidRPr="00514066">
        <w:rPr>
          <w:rFonts w:ascii="Times New Roman" w:hAnsi="Times New Roman" w:cs="Times New Roman"/>
          <w:color w:val="000000" w:themeColor="text1"/>
          <w:lang w:val="en-GB"/>
        </w:rPr>
        <w:t xml:space="preserve"> The argument of the seller that environmental impact of certain trademark law aspects should be considered was </w:t>
      </w:r>
      <w:r w:rsidR="00156EF7">
        <w:rPr>
          <w:rFonts w:ascii="Times New Roman" w:hAnsi="Times New Roman" w:cs="Times New Roman"/>
          <w:color w:val="000000" w:themeColor="text1"/>
          <w:lang w:val="en-GB"/>
        </w:rPr>
        <w:t>rejected</w:t>
      </w:r>
      <w:r w:rsidRPr="00514066">
        <w:rPr>
          <w:rFonts w:ascii="Times New Roman" w:hAnsi="Times New Roman" w:cs="Times New Roman"/>
          <w:color w:val="000000" w:themeColor="text1"/>
          <w:lang w:val="en-GB"/>
        </w:rPr>
        <w:t xml:space="preserve"> by the court. The NSC holds that its interpretation follows from the Trademark Directive and caselaw. It explains that </w:t>
      </w:r>
      <w:r w:rsidR="00156EF7">
        <w:rPr>
          <w:rFonts w:ascii="Times New Roman" w:hAnsi="Times New Roman" w:cs="Times New Roman"/>
          <w:color w:val="000000" w:themeColor="text1"/>
          <w:lang w:val="en-GB"/>
        </w:rPr>
        <w:t>E</w:t>
      </w:r>
      <w:r w:rsidRPr="00514066">
        <w:rPr>
          <w:rFonts w:ascii="Times New Roman" w:hAnsi="Times New Roman" w:cs="Times New Roman"/>
          <w:color w:val="000000" w:themeColor="text1"/>
          <w:lang w:val="en-GB"/>
        </w:rPr>
        <w:t xml:space="preserve">CJ caselaw on the interpretation the </w:t>
      </w:r>
      <w:r w:rsidRPr="00514066">
        <w:rPr>
          <w:rFonts w:ascii="Times New Roman" w:hAnsi="Times New Roman" w:cs="Times New Roman"/>
          <w:color w:val="000000" w:themeColor="text1"/>
          <w:lang w:val="en-GB"/>
        </w:rPr>
        <w:lastRenderedPageBreak/>
        <w:t xml:space="preserve">Directive asserts the </w:t>
      </w:r>
      <w:r w:rsidRPr="00514066">
        <w:rPr>
          <w:rFonts w:ascii="Times New Roman" w:hAnsi="Times New Roman" w:cs="Times New Roman"/>
          <w:color w:val="000000" w:themeColor="text1"/>
          <w:u w:val="single"/>
          <w:lang w:val="en-GB"/>
        </w:rPr>
        <w:t>only</w:t>
      </w:r>
      <w:r w:rsidRPr="00514066">
        <w:rPr>
          <w:rFonts w:ascii="Times New Roman" w:hAnsi="Times New Roman" w:cs="Times New Roman"/>
          <w:color w:val="000000" w:themeColor="text1"/>
          <w:lang w:val="en-GB"/>
        </w:rPr>
        <w:t xml:space="preserve"> relevant considerations are those of the function of the trademark.</w:t>
      </w:r>
      <w:r w:rsidRPr="00514066">
        <w:rPr>
          <w:rStyle w:val="FootnoteReference"/>
          <w:rFonts w:ascii="Times New Roman" w:hAnsi="Times New Roman" w:cs="Times New Roman"/>
          <w:color w:val="000000" w:themeColor="text1"/>
        </w:rPr>
        <w:footnoteReference w:id="12"/>
      </w:r>
      <w:r w:rsidRPr="00514066">
        <w:rPr>
          <w:rFonts w:ascii="Times New Roman" w:hAnsi="Times New Roman" w:cs="Times New Roman"/>
          <w:color w:val="000000" w:themeColor="text1"/>
          <w:lang w:val="en-GB"/>
        </w:rPr>
        <w:t xml:space="preserve"> This led to the NSC ordering the destruction of the counterfeit screens. Could the NSC have ordered the defendant to effectively and permanently remove the falsified logos to prevent the destruction of these new, unused parts?  </w:t>
      </w:r>
    </w:p>
    <w:p w14:paraId="39D25CE2" w14:textId="1CDE79E9"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Another point that the NSC makes is the following:</w:t>
      </w:r>
    </w:p>
    <w:p w14:paraId="56422F7A"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38)</w:t>
      </w:r>
      <w:r w:rsidRPr="00514066">
        <w:rPr>
          <w:rFonts w:ascii="Times New Roman" w:hAnsi="Times New Roman"/>
          <w:sz w:val="22"/>
        </w:rPr>
        <w:t> </w:t>
      </w:r>
      <w:r w:rsidRPr="00514066">
        <w:rPr>
          <w:rFonts w:ascii="Times New Roman" w:hAnsi="Times New Roman"/>
          <w:sz w:val="22"/>
          <w:lang w:val="en-GB"/>
        </w:rPr>
        <w:t>There is also a risk of affecting the trademark’s functions even if the concealment is not removed. On the outside, the screens are identical to Apple’s original screens, and the marker is applied at the same place as Apple’s trademark is placed on original screens. Thus, the concealment, which is visible, may cause confusion with regard to the product’s origin. For the relevant public, it may appear unclear whether it is an original screen or a copy. Such ambiguity is in itself adequate to establish a risk of affecting the trademark’s functions.</w:t>
      </w:r>
      <w:r w:rsidRPr="00514066">
        <w:rPr>
          <w:rStyle w:val="FootnoteReference"/>
          <w:rFonts w:ascii="Times New Roman" w:hAnsi="Times New Roman"/>
          <w:sz w:val="22"/>
        </w:rPr>
        <w:footnoteReference w:id="13"/>
      </w:r>
    </w:p>
    <w:p w14:paraId="4424524E" w14:textId="3F5B5093"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This raises the question in what case a replacement part that is made outside of the trademark holder's chain of production would not cause this 'ambiguity'. Notably, the relevant public is not the consumer but consists of providers of repair services and professional traders. The marks will not be visible after installation for the end-user. Naturally, the screens cannot carry the falsified logo. But what if the logos are permanently </w:t>
      </w:r>
      <w:r w:rsidR="00664746">
        <w:rPr>
          <w:rFonts w:ascii="Times New Roman" w:hAnsi="Times New Roman" w:cs="Times New Roman"/>
          <w:color w:val="000000" w:themeColor="text1"/>
          <w:lang w:val="en-GB"/>
        </w:rPr>
        <w:t>remove</w:t>
      </w:r>
      <w:r w:rsidRPr="00514066">
        <w:rPr>
          <w:rFonts w:ascii="Times New Roman" w:hAnsi="Times New Roman" w:cs="Times New Roman"/>
          <w:color w:val="000000" w:themeColor="text1"/>
          <w:lang w:val="en-GB"/>
        </w:rPr>
        <w:t>d by the seller or if there is no logo whatsoever? Would any professional party be confused about the fact that these screens are not authentic, because they look like Apple-screens '</w:t>
      </w:r>
      <w:r w:rsidRPr="00514066">
        <w:rPr>
          <w:rFonts w:ascii="Times New Roman" w:hAnsi="Times New Roman" w:cs="Times New Roman"/>
          <w:i/>
          <w:iCs/>
          <w:color w:val="000000" w:themeColor="text1"/>
          <w:lang w:val="en-GB"/>
        </w:rPr>
        <w:t>on the outside'</w:t>
      </w:r>
      <w:r w:rsidRPr="00514066">
        <w:rPr>
          <w:rFonts w:ascii="Times New Roman" w:hAnsi="Times New Roman" w:cs="Times New Roman"/>
          <w:color w:val="000000" w:themeColor="text1"/>
          <w:lang w:val="en-GB"/>
        </w:rPr>
        <w:t xml:space="preserve">? How would one go about the production of compatible screens without making them look like an Apple-screen? Does this interpretation of trademark law enable trademark holders to monopolize the market for spare parts? How would other national judges interpret this issue? </w:t>
      </w:r>
    </w:p>
    <w:p w14:paraId="40766542" w14:textId="77777777" w:rsidR="00514066" w:rsidRPr="00514066" w:rsidRDefault="00514066" w:rsidP="00514066">
      <w:pPr>
        <w:rPr>
          <w:rFonts w:ascii="Times New Roman" w:hAnsi="Times New Roman" w:cs="Times New Roman"/>
          <w:b/>
          <w:bCs/>
          <w:color w:val="000000" w:themeColor="text1"/>
          <w:lang w:val="en-GB"/>
        </w:rPr>
      </w:pPr>
    </w:p>
    <w:p w14:paraId="19177689" w14:textId="77777777" w:rsidR="00514066" w:rsidRPr="00514066" w:rsidRDefault="00514066" w:rsidP="00514066">
      <w:pPr>
        <w:pStyle w:val="BrauwK2"/>
        <w:rPr>
          <w:rFonts w:ascii="Times New Roman" w:hAnsi="Times New Roman"/>
          <w:sz w:val="22"/>
          <w:lang w:val="en-GB"/>
        </w:rPr>
      </w:pPr>
      <w:r w:rsidRPr="00514066">
        <w:rPr>
          <w:rFonts w:ascii="Times New Roman" w:hAnsi="Times New Roman"/>
          <w:sz w:val="22"/>
          <w:lang w:val="en-GB"/>
        </w:rPr>
        <w:t xml:space="preserve"> </w:t>
      </w:r>
      <w:bookmarkStart w:id="4" w:name="_Toc126335481"/>
      <w:r w:rsidRPr="00514066">
        <w:rPr>
          <w:rFonts w:ascii="Times New Roman" w:hAnsi="Times New Roman"/>
          <w:sz w:val="22"/>
          <w:lang w:val="en-GB"/>
        </w:rPr>
        <w:t>Upcycling en recycling</w:t>
      </w:r>
      <w:bookmarkEnd w:id="4"/>
    </w:p>
    <w:p w14:paraId="342B2C47" w14:textId="7777777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Recycling and upcycling both refer to the reuse of materials.  </w:t>
      </w:r>
    </w:p>
    <w:p w14:paraId="182CF292" w14:textId="5678C6AF"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In recycling, products are broken down into raw materials such as wood, glass or metal. The original product and trademark will</w:t>
      </w:r>
      <w:r w:rsidR="00664746">
        <w:rPr>
          <w:rFonts w:ascii="Times New Roman" w:hAnsi="Times New Roman" w:cs="Times New Roman"/>
          <w:color w:val="000000" w:themeColor="text1"/>
          <w:lang w:val="en-GB"/>
        </w:rPr>
        <w:t xml:space="preserve"> typically</w:t>
      </w:r>
      <w:r w:rsidRPr="00514066">
        <w:rPr>
          <w:rFonts w:ascii="Times New Roman" w:hAnsi="Times New Roman" w:cs="Times New Roman"/>
          <w:color w:val="000000" w:themeColor="text1"/>
          <w:lang w:val="en-GB"/>
        </w:rPr>
        <w:t xml:space="preserve"> no longer be recognizable after the process. In this case, there will not likely be any infringement of a trademark owner's right. With upcycling, parts of the product are reused, or the product becomes part of a new product. This practice extends the life cycle of the product. The situation may then arise where i) the trademark is removed ii) it is retained or iii) it is modified. </w:t>
      </w:r>
    </w:p>
    <w:p w14:paraId="0F628569" w14:textId="01DF0390"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In</w:t>
      </w:r>
      <w:r w:rsidR="00664746">
        <w:rPr>
          <w:rFonts w:ascii="Times New Roman" w:hAnsi="Times New Roman" w:cs="Times New Roman"/>
          <w:color w:val="000000" w:themeColor="text1"/>
          <w:lang w:val="en-GB"/>
        </w:rPr>
        <w:t xml:space="preserve"> the US case</w:t>
      </w:r>
      <w:r w:rsidRPr="00514066">
        <w:rPr>
          <w:rFonts w:ascii="Times New Roman" w:hAnsi="Times New Roman" w:cs="Times New Roman"/>
          <w:color w:val="000000" w:themeColor="text1"/>
          <w:lang w:val="en-GB"/>
        </w:rPr>
        <w:t xml:space="preserve"> </w:t>
      </w:r>
      <w:r w:rsidRPr="00514066">
        <w:rPr>
          <w:rFonts w:ascii="Times New Roman" w:hAnsi="Times New Roman" w:cs="Times New Roman"/>
          <w:i/>
          <w:iCs/>
          <w:color w:val="000000" w:themeColor="text1"/>
          <w:lang w:val="en-GB"/>
        </w:rPr>
        <w:t>Chanel v Shiver and Duke</w:t>
      </w:r>
      <w:r w:rsidRPr="00514066">
        <w:rPr>
          <w:rFonts w:ascii="Times New Roman" w:hAnsi="Times New Roman" w:cs="Times New Roman"/>
          <w:color w:val="000000" w:themeColor="text1"/>
          <w:lang w:val="en-GB"/>
        </w:rPr>
        <w:t>, the question was raised what the status of a trademark is when upcycling.  In this case, Chanel argued that the use of buttons carrying the trademark</w:t>
      </w:r>
      <w:r w:rsidR="00664746">
        <w:rPr>
          <w:rFonts w:ascii="Times New Roman" w:hAnsi="Times New Roman" w:cs="Times New Roman"/>
          <w:color w:val="000000" w:themeColor="text1"/>
          <w:lang w:val="en-GB"/>
        </w:rPr>
        <w:t xml:space="preserve">, which were offered as part of </w:t>
      </w:r>
      <w:r w:rsidR="004A11CB">
        <w:rPr>
          <w:rFonts w:ascii="Times New Roman" w:hAnsi="Times New Roman" w:cs="Times New Roman"/>
          <w:color w:val="000000" w:themeColor="text1"/>
          <w:lang w:val="en-GB"/>
        </w:rPr>
        <w:t>jewellery</w:t>
      </w:r>
      <w:r w:rsidR="00664746">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t xml:space="preserve"> made Shiver and Duke benefit unfairly from the goodwill</w:t>
      </w:r>
      <w:r w:rsidRPr="00514066">
        <w:rPr>
          <w:rFonts w:ascii="Times New Roman" w:hAnsi="Times New Roman" w:cs="Times New Roman"/>
          <w:i/>
          <w:iCs/>
          <w:color w:val="000000" w:themeColor="text1"/>
          <w:lang w:val="en-GB"/>
        </w:rPr>
        <w:t xml:space="preserve"> </w:t>
      </w:r>
      <w:r w:rsidRPr="00514066">
        <w:rPr>
          <w:rFonts w:ascii="Times New Roman" w:hAnsi="Times New Roman" w:cs="Times New Roman"/>
          <w:color w:val="000000" w:themeColor="text1"/>
          <w:lang w:val="en-GB"/>
        </w:rPr>
        <w:t xml:space="preserve">of the brand. Moreover, Chanel argued Shiver and Duke failed to take appropriate measures to avoid consumer confusion about the origin of the product. Ultimately, this case was settled.  </w:t>
      </w:r>
    </w:p>
    <w:p w14:paraId="3B5B6475" w14:textId="0B05E5D4"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Where should the line be drawn between freeriding on the goodwill built up by a trademark with minimal modifications to a product? What if the 'upcycling' effectively (but inadvertently) decreases the quality of the good</w:t>
      </w:r>
      <w:r w:rsidR="00664746">
        <w:rPr>
          <w:rFonts w:ascii="Times New Roman" w:hAnsi="Times New Roman" w:cs="Times New Roman"/>
          <w:color w:val="000000" w:themeColor="text1"/>
          <w:lang w:val="en-GB"/>
        </w:rPr>
        <w:t>s</w:t>
      </w:r>
      <w:r w:rsidRPr="00514066">
        <w:rPr>
          <w:rFonts w:ascii="Times New Roman" w:hAnsi="Times New Roman" w:cs="Times New Roman"/>
          <w:color w:val="000000" w:themeColor="text1"/>
          <w:lang w:val="en-GB"/>
        </w:rPr>
        <w:t xml:space="preserve">? What norm would be applicable to measure this deterioration aspect, would it be the objective value of the product or relative marketability? And would any devaluation of the good result in a legitimate reason for a trademark holder to object to the sales? How should it be made known to the consumer a good was altered when the visible trademark is one of the main valuable features? </w:t>
      </w:r>
      <w:r w:rsidR="00664746">
        <w:rPr>
          <w:rFonts w:ascii="Times New Roman" w:hAnsi="Times New Roman" w:cs="Times New Roman"/>
          <w:color w:val="000000" w:themeColor="text1"/>
          <w:lang w:val="en-GB"/>
        </w:rPr>
        <w:t xml:space="preserve">And how can this NOT be taking unfair advantage of the reputation or distinctive character </w:t>
      </w:r>
      <w:r w:rsidR="00664746">
        <w:rPr>
          <w:rFonts w:ascii="Times New Roman" w:hAnsi="Times New Roman" w:cs="Times New Roman"/>
          <w:color w:val="000000" w:themeColor="text1"/>
          <w:lang w:val="en-GB"/>
        </w:rPr>
        <w:lastRenderedPageBreak/>
        <w:t xml:space="preserve">of the trademark. </w:t>
      </w:r>
      <w:r w:rsidRPr="00514066">
        <w:rPr>
          <w:rFonts w:ascii="Times New Roman" w:hAnsi="Times New Roman" w:cs="Times New Roman"/>
          <w:color w:val="000000" w:themeColor="text1"/>
          <w:lang w:val="en-GB"/>
        </w:rPr>
        <w:t xml:space="preserve">How can the upcycling party avoid confusion about affiliation with the brand? Does a disclaimer on the packaging suffice? And does that disclaimer even matter if the result of the upcycling process is </w:t>
      </w:r>
      <w:r w:rsidR="00664746">
        <w:rPr>
          <w:rFonts w:ascii="Times New Roman" w:hAnsi="Times New Roman" w:cs="Times New Roman"/>
          <w:color w:val="000000" w:themeColor="text1"/>
          <w:lang w:val="en-GB"/>
        </w:rPr>
        <w:t>awful</w:t>
      </w:r>
      <w:r w:rsidRPr="00514066">
        <w:rPr>
          <w:rFonts w:ascii="Times New Roman" w:hAnsi="Times New Roman" w:cs="Times New Roman"/>
          <w:color w:val="000000" w:themeColor="text1"/>
          <w:lang w:val="en-GB"/>
        </w:rPr>
        <w:t xml:space="preserve">, due to risks of dilution of the trademark and possible harm to its reputation? </w:t>
      </w:r>
      <w:r w:rsidRPr="00514066">
        <w:rPr>
          <w:rStyle w:val="FootnoteReference"/>
          <w:rFonts w:ascii="Times New Roman" w:hAnsi="Times New Roman" w:cs="Times New Roman"/>
          <w:color w:val="000000" w:themeColor="text1"/>
          <w:lang w:val="en-GB"/>
        </w:rPr>
        <w:footnoteReference w:id="14"/>
      </w:r>
      <w:r w:rsidRPr="00514066">
        <w:rPr>
          <w:rFonts w:ascii="Times New Roman" w:hAnsi="Times New Roman" w:cs="Times New Roman"/>
          <w:color w:val="000000" w:themeColor="text1"/>
          <w:lang w:val="en-GB"/>
        </w:rPr>
        <w:t xml:space="preserve"> </w:t>
      </w:r>
    </w:p>
    <w:p w14:paraId="3C29A6D5" w14:textId="77777777" w:rsidR="00514066" w:rsidRPr="00514066" w:rsidRDefault="00514066" w:rsidP="00514066">
      <w:pPr>
        <w:rPr>
          <w:rFonts w:ascii="Times New Roman" w:hAnsi="Times New Roman" w:cs="Times New Roman"/>
          <w:color w:val="000000" w:themeColor="text1"/>
          <w:lang w:val="en-GB"/>
        </w:rPr>
      </w:pPr>
    </w:p>
    <w:p w14:paraId="24F21A6A" w14:textId="75E2935C" w:rsidR="00514066" w:rsidRPr="00514066" w:rsidRDefault="00514066" w:rsidP="00514066">
      <w:pPr>
        <w:pStyle w:val="BrauwK2"/>
        <w:rPr>
          <w:rFonts w:ascii="Times New Roman" w:hAnsi="Times New Roman"/>
          <w:sz w:val="22"/>
          <w:lang w:val="en-GB"/>
        </w:rPr>
      </w:pPr>
      <w:bookmarkStart w:id="5" w:name="_Toc126335482"/>
      <w:r w:rsidRPr="00514066">
        <w:rPr>
          <w:rFonts w:ascii="Times New Roman" w:hAnsi="Times New Roman"/>
          <w:sz w:val="22"/>
          <w:lang w:val="en-GB"/>
        </w:rPr>
        <w:t>Use of a</w:t>
      </w:r>
      <w:r w:rsidR="00664746">
        <w:rPr>
          <w:rFonts w:ascii="Times New Roman" w:hAnsi="Times New Roman"/>
          <w:sz w:val="22"/>
          <w:lang w:val="en-GB"/>
        </w:rPr>
        <w:t xml:space="preserve"> </w:t>
      </w:r>
      <w:r w:rsidR="004A11CB">
        <w:rPr>
          <w:rFonts w:ascii="Times New Roman" w:hAnsi="Times New Roman"/>
          <w:sz w:val="22"/>
          <w:lang w:val="en-GB"/>
        </w:rPr>
        <w:t>branded</w:t>
      </w:r>
      <w:r w:rsidRPr="00514066">
        <w:rPr>
          <w:rFonts w:ascii="Times New Roman" w:hAnsi="Times New Roman"/>
          <w:sz w:val="22"/>
          <w:lang w:val="en-GB"/>
        </w:rPr>
        <w:t xml:space="preserve"> product in art</w:t>
      </w:r>
      <w:bookmarkEnd w:id="5"/>
    </w:p>
    <w:p w14:paraId="76EC1099" w14:textId="018B2460"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The use of a physical product in art can be seen as a special form of upcycling. The relevance of trademark law for the use of a physical product in art will depend on the recognizability of a trademark on the piece. </w:t>
      </w:r>
    </w:p>
    <w:p w14:paraId="61B16F3C" w14:textId="25371080" w:rsidR="00514066" w:rsidRPr="00514066" w:rsidRDefault="00664746" w:rsidP="00514066">
      <w:pPr>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first question that arises is whether this is use in the course of trade, and if so, whether the state in question has provided trademark protection for such situations (this is not part of mandatory EU harmonization). If such protection is granted, the use by </w:t>
      </w:r>
      <w:r w:rsidR="00514066" w:rsidRPr="00514066">
        <w:rPr>
          <w:rFonts w:ascii="Times New Roman" w:hAnsi="Times New Roman" w:cs="Times New Roman"/>
          <w:color w:val="000000" w:themeColor="text1"/>
          <w:lang w:val="en-GB"/>
        </w:rPr>
        <w:t xml:space="preserve">an artist </w:t>
      </w:r>
      <w:r>
        <w:rPr>
          <w:rFonts w:ascii="Times New Roman" w:hAnsi="Times New Roman" w:cs="Times New Roman"/>
          <w:color w:val="000000" w:themeColor="text1"/>
          <w:lang w:val="en-GB"/>
        </w:rPr>
        <w:t xml:space="preserve">to which </w:t>
      </w:r>
      <w:r w:rsidR="00514066" w:rsidRPr="00514066">
        <w:rPr>
          <w:rFonts w:ascii="Times New Roman" w:hAnsi="Times New Roman" w:cs="Times New Roman"/>
          <w:color w:val="000000" w:themeColor="text1"/>
          <w:lang w:val="en-GB"/>
        </w:rPr>
        <w:t xml:space="preserve">the trademark holder </w:t>
      </w:r>
      <w:r>
        <w:rPr>
          <w:rFonts w:ascii="Times New Roman" w:hAnsi="Times New Roman" w:cs="Times New Roman"/>
          <w:color w:val="000000" w:themeColor="text1"/>
          <w:lang w:val="en-GB"/>
        </w:rPr>
        <w:t xml:space="preserve">objects, </w:t>
      </w:r>
      <w:r w:rsidR="00514066" w:rsidRPr="00514066">
        <w:rPr>
          <w:rFonts w:ascii="Times New Roman" w:hAnsi="Times New Roman" w:cs="Times New Roman"/>
          <w:color w:val="000000" w:themeColor="text1"/>
          <w:lang w:val="en-GB"/>
        </w:rPr>
        <w:t xml:space="preserve">should </w:t>
      </w:r>
      <w:r>
        <w:rPr>
          <w:rFonts w:ascii="Times New Roman" w:hAnsi="Times New Roman" w:cs="Times New Roman"/>
          <w:color w:val="000000" w:themeColor="text1"/>
          <w:lang w:val="en-GB"/>
        </w:rPr>
        <w:t xml:space="preserve">at least also </w:t>
      </w:r>
      <w:r w:rsidR="00514066" w:rsidRPr="00514066">
        <w:rPr>
          <w:rFonts w:ascii="Times New Roman" w:hAnsi="Times New Roman" w:cs="Times New Roman"/>
          <w:color w:val="000000" w:themeColor="text1"/>
          <w:lang w:val="en-GB"/>
        </w:rPr>
        <w:t>be weighed against freedom of expression and artistic freedom of the artist. Something can be considered art if it serves to convey a political or social message to some extent. However, this threshold is not very high. Nor does it mean no commercial purpose is allowed. Relevant considerations are whether the use of a trademark in the art</w:t>
      </w:r>
      <w:r w:rsidR="00556C01">
        <w:rPr>
          <w:rFonts w:ascii="Times New Roman" w:hAnsi="Times New Roman" w:cs="Times New Roman"/>
          <w:color w:val="000000" w:themeColor="text1"/>
          <w:lang w:val="en-GB"/>
        </w:rPr>
        <w:t xml:space="preserve"> work </w:t>
      </w:r>
      <w:r w:rsidR="00514066" w:rsidRPr="00514066">
        <w:rPr>
          <w:rFonts w:ascii="Times New Roman" w:hAnsi="Times New Roman" w:cs="Times New Roman"/>
          <w:color w:val="000000" w:themeColor="text1"/>
          <w:lang w:val="en-GB"/>
        </w:rPr>
        <w:t xml:space="preserve"> damages the trademark's reputation</w:t>
      </w:r>
      <w:r w:rsidR="00556C01">
        <w:rPr>
          <w:rFonts w:ascii="Times New Roman" w:hAnsi="Times New Roman" w:cs="Times New Roman"/>
          <w:color w:val="000000" w:themeColor="text1"/>
          <w:lang w:val="en-GB"/>
        </w:rPr>
        <w:t xml:space="preserve"> or whether unfair advantage is taken</w:t>
      </w:r>
      <w:r w:rsidR="00514066" w:rsidRPr="00514066">
        <w:rPr>
          <w:rFonts w:ascii="Times New Roman" w:hAnsi="Times New Roman" w:cs="Times New Roman"/>
          <w:color w:val="000000" w:themeColor="text1"/>
          <w:lang w:val="en-GB"/>
        </w:rPr>
        <w:t xml:space="preserve">. But does an artist need to have any </w:t>
      </w:r>
      <w:r w:rsidR="00514066" w:rsidRPr="00514066">
        <w:rPr>
          <w:rFonts w:ascii="Times New Roman" w:hAnsi="Times New Roman" w:cs="Times New Roman"/>
          <w:color w:val="000000" w:themeColor="text1"/>
          <w:u w:val="single"/>
          <w:lang w:val="en-GB"/>
        </w:rPr>
        <w:t>intent</w:t>
      </w:r>
      <w:r w:rsidR="00514066" w:rsidRPr="00514066">
        <w:rPr>
          <w:rFonts w:ascii="Times New Roman" w:hAnsi="Times New Roman" w:cs="Times New Roman"/>
          <w:color w:val="000000" w:themeColor="text1"/>
          <w:lang w:val="en-GB"/>
        </w:rPr>
        <w:t xml:space="preserve"> to harm the trademark holder rights? Or can the intention to freeride </w:t>
      </w:r>
      <w:r w:rsidR="00556C01">
        <w:rPr>
          <w:rFonts w:ascii="Times New Roman" w:hAnsi="Times New Roman" w:cs="Times New Roman"/>
          <w:color w:val="000000" w:themeColor="text1"/>
          <w:lang w:val="en-GB"/>
        </w:rPr>
        <w:t>on</w:t>
      </w:r>
      <w:r w:rsidR="00514066" w:rsidRPr="00514066">
        <w:rPr>
          <w:rFonts w:ascii="Times New Roman" w:hAnsi="Times New Roman" w:cs="Times New Roman"/>
          <w:color w:val="000000" w:themeColor="text1"/>
          <w:lang w:val="en-GB"/>
        </w:rPr>
        <w:t xml:space="preserve"> the goodwill of a trademark also suffice? Does the 'no-harm norm form too great a restriction on artistic freedom/freedom of expression? Is providing negative commentary on powerful institutions and actors within society not one of the main prerogatives of an artist?</w:t>
      </w:r>
      <w:r w:rsidR="00514066" w:rsidRPr="00514066">
        <w:rPr>
          <w:rStyle w:val="FootnoteReference"/>
          <w:rFonts w:ascii="Times New Roman" w:hAnsi="Times New Roman" w:cs="Times New Roman"/>
          <w:color w:val="000000" w:themeColor="text1"/>
          <w:lang w:val="en-GB"/>
        </w:rPr>
        <w:footnoteReference w:id="15"/>
      </w:r>
      <w:r w:rsidR="00514066" w:rsidRPr="00514066">
        <w:rPr>
          <w:rFonts w:ascii="Times New Roman" w:hAnsi="Times New Roman" w:cs="Times New Roman"/>
          <w:color w:val="000000" w:themeColor="text1"/>
          <w:lang w:val="en-GB"/>
        </w:rPr>
        <w:t xml:space="preserve"> </w:t>
      </w:r>
      <w:r w:rsidR="00514066" w:rsidRPr="00514066">
        <w:rPr>
          <w:rStyle w:val="FootnoteReference"/>
          <w:rFonts w:ascii="Times New Roman" w:hAnsi="Times New Roman" w:cs="Times New Roman"/>
          <w:color w:val="000000" w:themeColor="text1"/>
          <w:lang w:val="en-GB"/>
        </w:rPr>
        <w:footnoteReference w:id="16"/>
      </w:r>
      <w:r w:rsidR="00514066" w:rsidRPr="00514066">
        <w:rPr>
          <w:rFonts w:ascii="Times New Roman" w:hAnsi="Times New Roman" w:cs="Times New Roman"/>
          <w:color w:val="000000" w:themeColor="text1"/>
          <w:lang w:val="en-GB"/>
        </w:rPr>
        <w:t xml:space="preserve"> </w:t>
      </w:r>
    </w:p>
    <w:p w14:paraId="3E40C7D2" w14:textId="119E7910" w:rsidR="00514066" w:rsidRPr="00556C01" w:rsidRDefault="00514066" w:rsidP="00556C01">
      <w:pPr>
        <w:rPr>
          <w:rFonts w:ascii="Times New Roman" w:hAnsi="Times New Roman" w:cs="Times New Roman"/>
          <w:i/>
          <w:iCs/>
          <w:lang w:val="en-GB"/>
        </w:rPr>
      </w:pPr>
      <w:r w:rsidRPr="00514066">
        <w:rPr>
          <w:rFonts w:ascii="Times New Roman" w:hAnsi="Times New Roman" w:cs="Times New Roman"/>
          <w:color w:val="000000" w:themeColor="text1"/>
          <w:lang w:val="en-GB"/>
        </w:rPr>
        <w:t>Senftleben explore</w:t>
      </w:r>
      <w:r w:rsidR="00556C01">
        <w:rPr>
          <w:rFonts w:ascii="Times New Roman" w:hAnsi="Times New Roman" w:cs="Times New Roman"/>
          <w:color w:val="000000" w:themeColor="text1"/>
          <w:lang w:val="en-GB"/>
        </w:rPr>
        <w:t>d</w:t>
      </w:r>
      <w:r w:rsidRPr="00514066">
        <w:rPr>
          <w:rFonts w:ascii="Times New Roman" w:hAnsi="Times New Roman" w:cs="Times New Roman"/>
          <w:color w:val="000000" w:themeColor="text1"/>
          <w:lang w:val="en-GB"/>
        </w:rPr>
        <w:t xml:space="preserve"> the role of fundamental rights and freedom of expression in relation to trademark law. In his paper he looks at the ruling in Hennesy v Cedric Art. This case did not involve the use of a physical product</w:t>
      </w:r>
      <w:r w:rsidR="00556C01">
        <w:rPr>
          <w:rFonts w:ascii="Times New Roman" w:hAnsi="Times New Roman" w:cs="Times New Roman"/>
          <w:color w:val="000000" w:themeColor="text1"/>
          <w:lang w:val="en-GB"/>
        </w:rPr>
        <w:t xml:space="preserve"> (it just depicted a branded product)</w:t>
      </w:r>
      <w:r w:rsidRPr="00514066">
        <w:rPr>
          <w:rFonts w:ascii="Times New Roman" w:hAnsi="Times New Roman" w:cs="Times New Roman"/>
          <w:color w:val="000000" w:themeColor="text1"/>
          <w:lang w:val="en-GB"/>
        </w:rPr>
        <w:t xml:space="preserve">, but it holds some interesting insights on the issue of fundamental rights in trademark law. Senftleben firmly concludes: </w:t>
      </w:r>
      <w:r w:rsidRPr="00514066">
        <w:rPr>
          <w:rFonts w:ascii="Times New Roman" w:hAnsi="Times New Roman" w:cs="Times New Roman"/>
          <w:lang w:val="en-GB"/>
        </w:rPr>
        <w:br/>
      </w:r>
      <w:r w:rsidRPr="00556C01">
        <w:rPr>
          <w:rFonts w:ascii="Times New Roman" w:hAnsi="Times New Roman" w:cs="Times New Roman"/>
          <w:i/>
          <w:iCs/>
          <w:lang w:val="en-GB"/>
        </w:rPr>
        <w:t xml:space="preserve">EU trademark law fails to provide for robust gatekeeper requirements that render infringement claims against use in artistic contexts futile from the outset. </w:t>
      </w:r>
      <w:r w:rsidRPr="00556C01">
        <w:rPr>
          <w:rStyle w:val="FootnoteReference"/>
          <w:rFonts w:ascii="Times New Roman" w:hAnsi="Times New Roman" w:cs="Times New Roman"/>
          <w:i/>
          <w:iCs/>
          <w:color w:val="000000" w:themeColor="text1"/>
        </w:rPr>
        <w:footnoteReference w:id="17"/>
      </w:r>
    </w:p>
    <w:p w14:paraId="3A7AF408" w14:textId="1E25F09F"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He is of the opinion that current tests to determine whether there has been a trademark infringement form a risk to the fundame</w:t>
      </w:r>
      <w:r w:rsidR="00664746">
        <w:rPr>
          <w:rFonts w:ascii="Times New Roman" w:hAnsi="Times New Roman" w:cs="Times New Roman"/>
          <w:color w:val="000000" w:themeColor="text1"/>
          <w:lang w:val="en-GB"/>
        </w:rPr>
        <w:t xml:space="preserve">ntal right </w:t>
      </w:r>
      <w:r w:rsidRPr="00514066">
        <w:rPr>
          <w:rFonts w:ascii="Times New Roman" w:hAnsi="Times New Roman" w:cs="Times New Roman"/>
          <w:color w:val="000000" w:themeColor="text1"/>
          <w:lang w:val="en-GB"/>
        </w:rPr>
        <w:t xml:space="preserve">of freedom of expression. In fact, he states the fairness-test of the </w:t>
      </w:r>
      <w:r w:rsidR="00556C01">
        <w:rPr>
          <w:rFonts w:ascii="Times New Roman" w:hAnsi="Times New Roman" w:cs="Times New Roman"/>
          <w:color w:val="000000" w:themeColor="text1"/>
          <w:lang w:val="en-GB"/>
        </w:rPr>
        <w:t>E</w:t>
      </w:r>
      <w:r w:rsidRPr="00514066">
        <w:rPr>
          <w:rFonts w:ascii="Times New Roman" w:hAnsi="Times New Roman" w:cs="Times New Roman"/>
          <w:color w:val="000000" w:themeColor="text1"/>
          <w:lang w:val="en-GB"/>
        </w:rPr>
        <w:t xml:space="preserve">CJ does not provide substantial protection for the freedom of expression. Considering the increasing </w:t>
      </w:r>
      <w:proofErr w:type="spellStart"/>
      <w:r w:rsidRPr="00514066">
        <w:rPr>
          <w:rFonts w:ascii="Times New Roman" w:hAnsi="Times New Roman" w:cs="Times New Roman"/>
          <w:color w:val="000000" w:themeColor="text1"/>
          <w:lang w:val="en-GB"/>
        </w:rPr>
        <w:t>constitutionali</w:t>
      </w:r>
      <w:r w:rsidR="00556C01">
        <w:rPr>
          <w:rFonts w:ascii="Times New Roman" w:hAnsi="Times New Roman" w:cs="Times New Roman"/>
          <w:color w:val="000000" w:themeColor="text1"/>
          <w:lang w:val="en-GB"/>
        </w:rPr>
        <w:t>z</w:t>
      </w:r>
      <w:r w:rsidRPr="00514066">
        <w:rPr>
          <w:rFonts w:ascii="Times New Roman" w:hAnsi="Times New Roman" w:cs="Times New Roman"/>
          <w:color w:val="000000" w:themeColor="text1"/>
          <w:lang w:val="en-GB"/>
        </w:rPr>
        <w:t>ation</w:t>
      </w:r>
      <w:proofErr w:type="spellEnd"/>
      <w:r w:rsidRPr="00514066">
        <w:rPr>
          <w:rFonts w:ascii="Times New Roman" w:hAnsi="Times New Roman" w:cs="Times New Roman"/>
          <w:color w:val="000000" w:themeColor="text1"/>
          <w:lang w:val="en-GB"/>
        </w:rPr>
        <w:t xml:space="preserve"> of private law, one may wonder whether the view of the </w:t>
      </w:r>
      <w:r w:rsidR="00556C01">
        <w:rPr>
          <w:rFonts w:ascii="Times New Roman" w:hAnsi="Times New Roman" w:cs="Times New Roman"/>
          <w:color w:val="000000" w:themeColor="text1"/>
          <w:lang w:val="en-GB"/>
        </w:rPr>
        <w:t>E</w:t>
      </w:r>
      <w:r w:rsidRPr="00514066">
        <w:rPr>
          <w:rFonts w:ascii="Times New Roman" w:hAnsi="Times New Roman" w:cs="Times New Roman"/>
          <w:color w:val="000000" w:themeColor="text1"/>
          <w:lang w:val="en-GB"/>
        </w:rPr>
        <w:t>CJ still reflects that of broader society</w:t>
      </w:r>
      <w:r w:rsidR="00556C01">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t xml:space="preserve"> </w:t>
      </w:r>
      <w:r w:rsidRPr="00514066">
        <w:rPr>
          <w:rStyle w:val="FootnoteReference"/>
          <w:rFonts w:ascii="Times New Roman" w:hAnsi="Times New Roman" w:cs="Times New Roman"/>
          <w:color w:val="000000" w:themeColor="text1"/>
        </w:rPr>
        <w:footnoteReference w:id="18"/>
      </w:r>
      <w:r w:rsidRPr="00514066">
        <w:rPr>
          <w:rFonts w:ascii="Times New Roman" w:hAnsi="Times New Roman" w:cs="Times New Roman"/>
          <w:color w:val="000000" w:themeColor="text1"/>
          <w:lang w:val="en-GB"/>
        </w:rPr>
        <w:t xml:space="preserve"> This discussion on weighing of rights of the trademark holder and other societal interests</w:t>
      </w:r>
      <w:r w:rsidR="00556C01">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t xml:space="preserve"> reflects the questions brought up earlier regarding environmental impact in the EPAL case. </w:t>
      </w:r>
    </w:p>
    <w:p w14:paraId="425D39B0" w14:textId="272E1E0A"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Comparatively, the US case </w:t>
      </w:r>
      <w:r w:rsidRPr="00514066">
        <w:rPr>
          <w:rFonts w:ascii="Times New Roman" w:hAnsi="Times New Roman" w:cs="Times New Roman"/>
          <w:i/>
          <w:iCs/>
          <w:color w:val="000000" w:themeColor="text1"/>
          <w:lang w:val="en-GB"/>
        </w:rPr>
        <w:t>Nike v MSCHF</w:t>
      </w:r>
      <w:r w:rsidRPr="00514066">
        <w:rPr>
          <w:rFonts w:ascii="Times New Roman" w:hAnsi="Times New Roman" w:cs="Times New Roman"/>
          <w:color w:val="000000" w:themeColor="text1"/>
          <w:lang w:val="en-GB"/>
        </w:rPr>
        <w:t xml:space="preserve"> illustrates how a claim to freedom of expression can be unjustified.</w:t>
      </w:r>
      <w:r w:rsidRPr="00514066">
        <w:rPr>
          <w:rStyle w:val="FootnoteReference"/>
          <w:rFonts w:ascii="Times New Roman" w:hAnsi="Times New Roman" w:cs="Times New Roman"/>
          <w:color w:val="000000" w:themeColor="text1"/>
        </w:rPr>
        <w:footnoteReference w:id="19"/>
      </w:r>
      <w:r w:rsidRPr="00514066">
        <w:rPr>
          <w:rFonts w:ascii="Times New Roman" w:hAnsi="Times New Roman" w:cs="Times New Roman"/>
          <w:color w:val="000000" w:themeColor="text1"/>
          <w:lang w:val="en-GB"/>
        </w:rPr>
        <w:t xml:space="preserve"> The streetwear brand MSCHF released "Satan Shoes" in a collab</w:t>
      </w:r>
      <w:r w:rsidR="00556C01">
        <w:rPr>
          <w:rFonts w:ascii="Times New Roman" w:hAnsi="Times New Roman" w:cs="Times New Roman"/>
          <w:color w:val="000000" w:themeColor="text1"/>
          <w:lang w:val="en-GB"/>
        </w:rPr>
        <w:t>oration</w:t>
      </w:r>
      <w:r w:rsidRPr="00514066">
        <w:rPr>
          <w:rFonts w:ascii="Times New Roman" w:hAnsi="Times New Roman" w:cs="Times New Roman"/>
          <w:color w:val="000000" w:themeColor="text1"/>
          <w:lang w:val="en-GB"/>
        </w:rPr>
        <w:t xml:space="preserve"> with popular rapper Lil Nas X. These were customized, original Nike shoes. The 666 pairs of shoes, which contained both the Nike logo and a drop of blood, were sold out instantly. Nike stated there was a trademark infringement because the brand received backlash from confused customers who thought </w:t>
      </w:r>
      <w:r w:rsidRPr="00514066">
        <w:rPr>
          <w:rFonts w:ascii="Times New Roman" w:hAnsi="Times New Roman" w:cs="Times New Roman"/>
          <w:color w:val="000000" w:themeColor="text1"/>
          <w:lang w:val="en-GB"/>
        </w:rPr>
        <w:lastRenderedPageBreak/>
        <w:t xml:space="preserve">the brands were affiliated. Nike also claimed that MSCHF freerides on the trademark's goodwill. MSCHF used several defences: </w:t>
      </w:r>
    </w:p>
    <w:p w14:paraId="0D7AE99C" w14:textId="7777777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 first sale doctrine (which is equivalent to exhaustion); </w:t>
      </w:r>
    </w:p>
    <w:p w14:paraId="3F60C2E3" w14:textId="7777777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material alteration of the mark, and</w:t>
      </w:r>
    </w:p>
    <w:p w14:paraId="7E2167A9" w14:textId="7777777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 parody / fair use and social commentary. </w:t>
      </w:r>
    </w:p>
    <w:p w14:paraId="32C943C7" w14:textId="68C0CCF3" w:rsid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The case was settled, but it raises interesting questions. Where is the line between artistic expression and free rider behaviour? How much does the quantity of the 'art-products' produced matter? Does the customi</w:t>
      </w:r>
      <w:r w:rsidR="00BE2557">
        <w:rPr>
          <w:rFonts w:ascii="Times New Roman" w:hAnsi="Times New Roman" w:cs="Times New Roman"/>
          <w:color w:val="000000" w:themeColor="text1"/>
          <w:lang w:val="en-GB"/>
        </w:rPr>
        <w:t>z</w:t>
      </w:r>
      <w:r w:rsidRPr="00514066">
        <w:rPr>
          <w:rFonts w:ascii="Times New Roman" w:hAnsi="Times New Roman" w:cs="Times New Roman"/>
          <w:color w:val="000000" w:themeColor="text1"/>
          <w:lang w:val="en-GB"/>
        </w:rPr>
        <w:t>ation of trademarked products fall under 'art' in a legal sense? Does it matter whether and on what scale these customized trademark products are commercialized? How to distinguish between 'art' and creating outrage merely with the inten</w:t>
      </w:r>
      <w:r w:rsidR="00556C01">
        <w:rPr>
          <w:rFonts w:ascii="Times New Roman" w:hAnsi="Times New Roman" w:cs="Times New Roman"/>
          <w:color w:val="000000" w:themeColor="text1"/>
          <w:lang w:val="en-GB"/>
        </w:rPr>
        <w:t>t</w:t>
      </w:r>
      <w:r w:rsidRPr="00514066">
        <w:rPr>
          <w:rFonts w:ascii="Times New Roman" w:hAnsi="Times New Roman" w:cs="Times New Roman"/>
          <w:color w:val="000000" w:themeColor="text1"/>
          <w:lang w:val="en-GB"/>
        </w:rPr>
        <w:t xml:space="preserve"> to pump sales? And does this </w:t>
      </w:r>
      <w:r w:rsidR="00EF5EE0">
        <w:rPr>
          <w:rFonts w:ascii="Times New Roman" w:hAnsi="Times New Roman" w:cs="Times New Roman"/>
          <w:color w:val="000000" w:themeColor="text1"/>
          <w:lang w:val="en-GB"/>
        </w:rPr>
        <w:t xml:space="preserve">distinction </w:t>
      </w:r>
      <w:r w:rsidRPr="00514066">
        <w:rPr>
          <w:rFonts w:ascii="Times New Roman" w:hAnsi="Times New Roman" w:cs="Times New Roman"/>
          <w:color w:val="000000" w:themeColor="text1"/>
          <w:lang w:val="en-GB"/>
        </w:rPr>
        <w:t xml:space="preserve">even matter? </w:t>
      </w:r>
      <w:r w:rsidRPr="00514066">
        <w:rPr>
          <w:rStyle w:val="FootnoteReference"/>
          <w:rFonts w:ascii="Times New Roman" w:hAnsi="Times New Roman" w:cs="Times New Roman"/>
          <w:color w:val="000000" w:themeColor="text1"/>
        </w:rPr>
        <w:footnoteReference w:id="20"/>
      </w:r>
    </w:p>
    <w:p w14:paraId="6E71B1BB" w14:textId="77777777" w:rsidR="00EF5EE0" w:rsidRPr="00514066" w:rsidRDefault="00EF5EE0" w:rsidP="00514066">
      <w:pPr>
        <w:rPr>
          <w:rFonts w:ascii="Times New Roman" w:hAnsi="Times New Roman" w:cs="Times New Roman"/>
          <w:color w:val="000000" w:themeColor="text1"/>
          <w:lang w:val="en-GB"/>
        </w:rPr>
      </w:pPr>
    </w:p>
    <w:p w14:paraId="41E7A8EA" w14:textId="77777777" w:rsidR="00514066" w:rsidRPr="00514066" w:rsidRDefault="00514066" w:rsidP="00514066">
      <w:pPr>
        <w:pStyle w:val="BrauwK2"/>
        <w:rPr>
          <w:rFonts w:ascii="Times New Roman" w:hAnsi="Times New Roman"/>
          <w:sz w:val="22"/>
          <w:lang w:val="en-GB"/>
        </w:rPr>
      </w:pPr>
      <w:bookmarkStart w:id="6" w:name="_Toc126335483"/>
      <w:r w:rsidRPr="00514066">
        <w:rPr>
          <w:rFonts w:ascii="Times New Roman" w:hAnsi="Times New Roman"/>
          <w:sz w:val="22"/>
          <w:lang w:val="en-GB"/>
        </w:rPr>
        <w:t>Refilling</w:t>
      </w:r>
      <w:bookmarkEnd w:id="6"/>
    </w:p>
    <w:p w14:paraId="6F47E150" w14:textId="1799870B" w:rsidR="00514066" w:rsidRPr="00514066" w:rsidRDefault="00514066" w:rsidP="00514066">
      <w:pPr>
        <w:rPr>
          <w:rFonts w:ascii="Times New Roman" w:hAnsi="Times New Roman" w:cs="Times New Roman"/>
          <w:color w:val="232323"/>
          <w:lang w:val="en-GB"/>
        </w:rPr>
      </w:pPr>
      <w:r w:rsidRPr="00514066">
        <w:rPr>
          <w:rFonts w:ascii="Times New Roman" w:hAnsi="Times New Roman" w:cs="Times New Roman"/>
          <w:color w:val="232323"/>
          <w:lang w:val="en-GB"/>
        </w:rPr>
        <w:t>The</w:t>
      </w:r>
      <w:r w:rsidR="00BE2557">
        <w:rPr>
          <w:rFonts w:ascii="Times New Roman" w:hAnsi="Times New Roman" w:cs="Times New Roman"/>
          <w:color w:val="232323"/>
          <w:lang w:val="en-GB"/>
        </w:rPr>
        <w:t xml:space="preserve"> trademark</w:t>
      </w:r>
      <w:r w:rsidRPr="00514066">
        <w:rPr>
          <w:rFonts w:ascii="Times New Roman" w:hAnsi="Times New Roman" w:cs="Times New Roman"/>
          <w:color w:val="232323"/>
          <w:lang w:val="en-GB"/>
        </w:rPr>
        <w:t xml:space="preserve"> issues concerning refilling</w:t>
      </w:r>
      <w:r w:rsidR="00BE2557">
        <w:rPr>
          <w:rFonts w:ascii="Times New Roman" w:hAnsi="Times New Roman" w:cs="Times New Roman"/>
          <w:color w:val="232323"/>
          <w:lang w:val="en-GB"/>
        </w:rPr>
        <w:t xml:space="preserve"> relate</w:t>
      </w:r>
      <w:r w:rsidRPr="00514066">
        <w:rPr>
          <w:rFonts w:ascii="Times New Roman" w:hAnsi="Times New Roman" w:cs="Times New Roman"/>
          <w:color w:val="232323"/>
          <w:lang w:val="en-GB"/>
        </w:rPr>
        <w:t xml:space="preserve"> to the sale of refilled, branded packaging. Some industries have their own systems when it comes to refill packaging. This will mostly have to do with safety and quality </w:t>
      </w:r>
      <w:r w:rsidR="00BE2557">
        <w:rPr>
          <w:rFonts w:ascii="Times New Roman" w:hAnsi="Times New Roman" w:cs="Times New Roman"/>
          <w:color w:val="232323"/>
          <w:lang w:val="en-GB"/>
        </w:rPr>
        <w:t>requirements</w:t>
      </w:r>
      <w:r w:rsidRPr="00514066">
        <w:rPr>
          <w:rFonts w:ascii="Times New Roman" w:hAnsi="Times New Roman" w:cs="Times New Roman"/>
          <w:color w:val="232323"/>
          <w:lang w:val="en-GB"/>
        </w:rPr>
        <w:t>.</w:t>
      </w:r>
      <w:r w:rsidRPr="00514066">
        <w:rPr>
          <w:rStyle w:val="FootnoteReference"/>
          <w:rFonts w:ascii="Times New Roman" w:hAnsi="Times New Roman" w:cs="Times New Roman"/>
          <w:color w:val="232323"/>
          <w:lang w:val="en-GB"/>
        </w:rPr>
        <w:footnoteReference w:id="21"/>
      </w:r>
      <w:r w:rsidRPr="00514066">
        <w:rPr>
          <w:rFonts w:ascii="Times New Roman" w:hAnsi="Times New Roman" w:cs="Times New Roman"/>
          <w:color w:val="232323"/>
          <w:lang w:val="en-GB"/>
        </w:rPr>
        <w:t xml:space="preserve"> Package refilling (on a commercial scale) is an important method of extending the life cycle of goods.</w:t>
      </w:r>
      <w:r w:rsidRPr="00514066">
        <w:rPr>
          <w:rStyle w:val="FootnoteReference"/>
          <w:rFonts w:ascii="Times New Roman" w:hAnsi="Times New Roman" w:cs="Times New Roman"/>
          <w:color w:val="232323"/>
        </w:rPr>
        <w:footnoteReference w:id="22"/>
      </w:r>
      <w:r w:rsidRPr="00514066">
        <w:rPr>
          <w:rFonts w:ascii="Times New Roman" w:hAnsi="Times New Roman" w:cs="Times New Roman"/>
          <w:color w:val="232323"/>
          <w:lang w:val="en-GB"/>
        </w:rPr>
        <w:t xml:space="preserve"> At the same time, the origin function </w:t>
      </w:r>
      <w:r w:rsidR="00BE2557">
        <w:rPr>
          <w:rFonts w:ascii="Times New Roman" w:hAnsi="Times New Roman" w:cs="Times New Roman"/>
          <w:color w:val="232323"/>
          <w:lang w:val="en-GB"/>
        </w:rPr>
        <w:t xml:space="preserve">and quality guarantee function </w:t>
      </w:r>
      <w:r w:rsidRPr="00514066">
        <w:rPr>
          <w:rFonts w:ascii="Times New Roman" w:hAnsi="Times New Roman" w:cs="Times New Roman"/>
          <w:color w:val="232323"/>
          <w:lang w:val="en-GB"/>
        </w:rPr>
        <w:t xml:space="preserve">can be </w:t>
      </w:r>
      <w:r w:rsidR="00BE2557">
        <w:rPr>
          <w:rFonts w:ascii="Times New Roman" w:hAnsi="Times New Roman" w:cs="Times New Roman"/>
          <w:color w:val="232323"/>
          <w:lang w:val="en-GB"/>
        </w:rPr>
        <w:t>harmed</w:t>
      </w:r>
      <w:r w:rsidRPr="00514066">
        <w:rPr>
          <w:rFonts w:ascii="Times New Roman" w:hAnsi="Times New Roman" w:cs="Times New Roman"/>
          <w:color w:val="232323"/>
          <w:lang w:val="en-GB"/>
        </w:rPr>
        <w:t xml:space="preserve"> here. </w:t>
      </w:r>
    </w:p>
    <w:p w14:paraId="7426A3D6" w14:textId="48FB127C" w:rsidR="00514066" w:rsidRPr="00514066" w:rsidRDefault="00514066" w:rsidP="00514066">
      <w:pPr>
        <w:rPr>
          <w:rFonts w:ascii="Times New Roman" w:hAnsi="Times New Roman" w:cs="Times New Roman"/>
          <w:color w:val="232323"/>
          <w:lang w:val="en-GB"/>
        </w:rPr>
      </w:pPr>
      <w:r w:rsidRPr="00514066">
        <w:rPr>
          <w:rFonts w:ascii="Times New Roman" w:hAnsi="Times New Roman" w:cs="Times New Roman"/>
          <w:color w:val="232323"/>
          <w:lang w:val="en-GB"/>
        </w:rPr>
        <w:t xml:space="preserve">In the </w:t>
      </w:r>
      <w:proofErr w:type="spellStart"/>
      <w:r w:rsidRPr="00514066">
        <w:rPr>
          <w:rFonts w:ascii="Times New Roman" w:hAnsi="Times New Roman" w:cs="Times New Roman"/>
          <w:i/>
          <w:iCs/>
          <w:color w:val="232323"/>
          <w:lang w:val="en-GB"/>
        </w:rPr>
        <w:t>Sodastream</w:t>
      </w:r>
      <w:proofErr w:type="spellEnd"/>
      <w:r w:rsidRPr="00514066">
        <w:rPr>
          <w:rFonts w:ascii="Times New Roman" w:hAnsi="Times New Roman" w:cs="Times New Roman"/>
          <w:i/>
          <w:iCs/>
          <w:color w:val="232323"/>
          <w:lang w:val="en-GB"/>
        </w:rPr>
        <w:t>-</w:t>
      </w:r>
      <w:r w:rsidRPr="00514066">
        <w:rPr>
          <w:rFonts w:ascii="Times New Roman" w:hAnsi="Times New Roman" w:cs="Times New Roman"/>
          <w:color w:val="232323"/>
          <w:lang w:val="en-GB"/>
        </w:rPr>
        <w:t>stream case, empty CO2-</w:t>
      </w:r>
      <w:r w:rsidR="00ED3FF8">
        <w:rPr>
          <w:rFonts w:ascii="Times New Roman" w:hAnsi="Times New Roman" w:cs="Times New Roman"/>
          <w:color w:val="232323"/>
          <w:lang w:val="en-GB"/>
        </w:rPr>
        <w:t xml:space="preserve">cylinders </w:t>
      </w:r>
      <w:r w:rsidRPr="00514066">
        <w:rPr>
          <w:rFonts w:ascii="Times New Roman" w:hAnsi="Times New Roman" w:cs="Times New Roman"/>
          <w:color w:val="232323"/>
          <w:lang w:val="en-GB"/>
        </w:rPr>
        <w:t xml:space="preserve">were refilled and repackaged by </w:t>
      </w:r>
      <w:proofErr w:type="spellStart"/>
      <w:r w:rsidRPr="00514066">
        <w:rPr>
          <w:rFonts w:ascii="Times New Roman" w:hAnsi="Times New Roman" w:cs="Times New Roman"/>
          <w:color w:val="232323"/>
          <w:lang w:val="en-GB"/>
        </w:rPr>
        <w:t>MySoda</w:t>
      </w:r>
      <w:proofErr w:type="spellEnd"/>
      <w:r w:rsidRPr="00514066">
        <w:rPr>
          <w:rFonts w:ascii="Times New Roman" w:hAnsi="Times New Roman" w:cs="Times New Roman"/>
          <w:color w:val="232323"/>
          <w:lang w:val="en-GB"/>
        </w:rPr>
        <w:t>.</w:t>
      </w:r>
      <w:r w:rsidRPr="00514066">
        <w:rPr>
          <w:rStyle w:val="FootnoteReference"/>
          <w:rFonts w:ascii="Times New Roman" w:hAnsi="Times New Roman" w:cs="Times New Roman"/>
          <w:color w:val="232323"/>
        </w:rPr>
        <w:footnoteReference w:id="23"/>
      </w:r>
      <w:r w:rsidRPr="00514066">
        <w:rPr>
          <w:rFonts w:ascii="Times New Roman" w:hAnsi="Times New Roman" w:cs="Times New Roman"/>
          <w:color w:val="232323"/>
          <w:lang w:val="en-GB"/>
        </w:rPr>
        <w:t xml:space="preserve"> </w:t>
      </w:r>
      <w:bookmarkStart w:id="7" w:name="point43"/>
      <w:r w:rsidRPr="00514066">
        <w:rPr>
          <w:rFonts w:ascii="Times New Roman" w:hAnsi="Times New Roman" w:cs="Times New Roman"/>
          <w:color w:val="232323"/>
          <w:lang w:val="en-GB"/>
        </w:rPr>
        <w:t xml:space="preserve">Trademark holder </w:t>
      </w:r>
      <w:proofErr w:type="spellStart"/>
      <w:r w:rsidRPr="00514066">
        <w:rPr>
          <w:rFonts w:ascii="Times New Roman" w:hAnsi="Times New Roman" w:cs="Times New Roman"/>
          <w:color w:val="232323"/>
          <w:lang w:val="en-GB"/>
        </w:rPr>
        <w:t>Sodastream</w:t>
      </w:r>
      <w:proofErr w:type="spellEnd"/>
      <w:r w:rsidRPr="00514066">
        <w:rPr>
          <w:rFonts w:ascii="Times New Roman" w:hAnsi="Times New Roman" w:cs="Times New Roman"/>
          <w:color w:val="232323"/>
          <w:lang w:val="en-GB"/>
        </w:rPr>
        <w:t xml:space="preserve"> argued that the refilling and repackaging (more on that in paragraph 2.7) by </w:t>
      </w:r>
      <w:proofErr w:type="spellStart"/>
      <w:r w:rsidRPr="00514066">
        <w:rPr>
          <w:rFonts w:ascii="Times New Roman" w:hAnsi="Times New Roman" w:cs="Times New Roman"/>
          <w:color w:val="232323"/>
          <w:lang w:val="en-GB"/>
        </w:rPr>
        <w:t>MySoda</w:t>
      </w:r>
      <w:proofErr w:type="spellEnd"/>
      <w:r w:rsidRPr="00514066">
        <w:rPr>
          <w:rFonts w:ascii="Times New Roman" w:hAnsi="Times New Roman" w:cs="Times New Roman"/>
          <w:color w:val="232323"/>
          <w:lang w:val="en-GB"/>
        </w:rPr>
        <w:t xml:space="preserve"> </w:t>
      </w:r>
      <w:r w:rsidR="00BE2557">
        <w:rPr>
          <w:rFonts w:ascii="Times New Roman" w:hAnsi="Times New Roman" w:cs="Times New Roman"/>
          <w:color w:val="232323"/>
          <w:lang w:val="en-GB"/>
        </w:rPr>
        <w:t>constituted</w:t>
      </w:r>
      <w:r w:rsidRPr="00514066">
        <w:rPr>
          <w:rFonts w:ascii="Times New Roman" w:hAnsi="Times New Roman" w:cs="Times New Roman"/>
          <w:color w:val="232323"/>
          <w:lang w:val="en-GB"/>
        </w:rPr>
        <w:t xml:space="preserve"> a</w:t>
      </w:r>
      <w:r w:rsidR="00BE2557">
        <w:rPr>
          <w:rFonts w:ascii="Times New Roman" w:hAnsi="Times New Roman" w:cs="Times New Roman"/>
          <w:color w:val="232323"/>
          <w:lang w:val="en-GB"/>
        </w:rPr>
        <w:t xml:space="preserve"> trademark</w:t>
      </w:r>
      <w:r w:rsidRPr="00514066">
        <w:rPr>
          <w:rFonts w:ascii="Times New Roman" w:hAnsi="Times New Roman" w:cs="Times New Roman"/>
          <w:color w:val="232323"/>
          <w:lang w:val="en-GB"/>
        </w:rPr>
        <w:t xml:space="preserve"> infringement. Notably, the embossed </w:t>
      </w:r>
      <w:proofErr w:type="spellStart"/>
      <w:r w:rsidRPr="00514066">
        <w:rPr>
          <w:rFonts w:ascii="Times New Roman" w:hAnsi="Times New Roman" w:cs="Times New Roman"/>
          <w:color w:val="232323"/>
          <w:lang w:val="en-GB"/>
        </w:rPr>
        <w:t>Sodastream</w:t>
      </w:r>
      <w:proofErr w:type="spellEnd"/>
      <w:r w:rsidRPr="00514066">
        <w:rPr>
          <w:rFonts w:ascii="Times New Roman" w:hAnsi="Times New Roman" w:cs="Times New Roman"/>
          <w:color w:val="232323"/>
          <w:lang w:val="en-GB"/>
        </w:rPr>
        <w:t xml:space="preserve"> logo was still visible on the bottles. This could c</w:t>
      </w:r>
      <w:r w:rsidR="00BE2557">
        <w:rPr>
          <w:rFonts w:ascii="Times New Roman" w:hAnsi="Times New Roman" w:cs="Times New Roman"/>
          <w:color w:val="232323"/>
          <w:lang w:val="en-GB"/>
        </w:rPr>
        <w:t>reate</w:t>
      </w:r>
      <w:r w:rsidRPr="00514066">
        <w:rPr>
          <w:rFonts w:ascii="Times New Roman" w:hAnsi="Times New Roman" w:cs="Times New Roman"/>
          <w:color w:val="232323"/>
          <w:lang w:val="en-GB"/>
        </w:rPr>
        <w:t xml:space="preserve"> confusion among consumers as to the origin of the bottles and possible affiliation of the companies. </w:t>
      </w:r>
    </w:p>
    <w:p w14:paraId="7D6204A9" w14:textId="3CE561B8" w:rsidR="00514066" w:rsidRPr="00514066" w:rsidRDefault="00514066" w:rsidP="00514066">
      <w:pPr>
        <w:rPr>
          <w:rFonts w:ascii="Times New Roman" w:hAnsi="Times New Roman" w:cs="Times New Roman"/>
          <w:color w:val="232323"/>
          <w:lang w:val="en-GB"/>
        </w:rPr>
      </w:pPr>
      <w:r w:rsidRPr="00514066">
        <w:rPr>
          <w:rFonts w:ascii="Times New Roman" w:hAnsi="Times New Roman" w:cs="Times New Roman"/>
          <w:color w:val="232323"/>
          <w:lang w:val="en-GB"/>
        </w:rPr>
        <w:t xml:space="preserve">In </w:t>
      </w:r>
      <w:proofErr w:type="spellStart"/>
      <w:r w:rsidRPr="00514066">
        <w:rPr>
          <w:rFonts w:ascii="Times New Roman" w:hAnsi="Times New Roman" w:cs="Times New Roman"/>
          <w:color w:val="232323"/>
          <w:lang w:val="en-GB"/>
        </w:rPr>
        <w:t>Sodastream</w:t>
      </w:r>
      <w:proofErr w:type="spellEnd"/>
      <w:r w:rsidRPr="00514066">
        <w:rPr>
          <w:rFonts w:ascii="Times New Roman" w:hAnsi="Times New Roman" w:cs="Times New Roman"/>
          <w:color w:val="232323"/>
          <w:lang w:val="en-GB"/>
        </w:rPr>
        <w:t xml:space="preserve"> the removal of the original label on the </w:t>
      </w:r>
      <w:r w:rsidR="00ED3FF8">
        <w:rPr>
          <w:rFonts w:ascii="Times New Roman" w:hAnsi="Times New Roman" w:cs="Times New Roman"/>
          <w:color w:val="232323"/>
          <w:lang w:val="en-GB"/>
        </w:rPr>
        <w:t>cylinder</w:t>
      </w:r>
      <w:r w:rsidRPr="00514066">
        <w:rPr>
          <w:rFonts w:ascii="Times New Roman" w:hAnsi="Times New Roman" w:cs="Times New Roman"/>
          <w:color w:val="232323"/>
          <w:lang w:val="en-GB"/>
        </w:rPr>
        <w:t xml:space="preserve"> after refilling qualified as '</w:t>
      </w:r>
      <w:r w:rsidRPr="00514066">
        <w:rPr>
          <w:rFonts w:ascii="Times New Roman" w:hAnsi="Times New Roman" w:cs="Times New Roman"/>
          <w:i/>
          <w:iCs/>
          <w:color w:val="232323"/>
          <w:lang w:val="en-GB"/>
        </w:rPr>
        <w:t xml:space="preserve">active conduct' </w:t>
      </w:r>
      <w:r w:rsidRPr="00514066">
        <w:rPr>
          <w:rFonts w:ascii="Times New Roman" w:hAnsi="Times New Roman" w:cs="Times New Roman"/>
          <w:color w:val="232323"/>
          <w:lang w:val="en-GB"/>
        </w:rPr>
        <w:t>in the sense of ‘</w:t>
      </w:r>
      <w:r w:rsidRPr="00514066">
        <w:rPr>
          <w:rFonts w:ascii="Times New Roman" w:hAnsi="Times New Roman" w:cs="Times New Roman"/>
          <w:i/>
          <w:iCs/>
          <w:color w:val="232323"/>
          <w:lang w:val="en-GB"/>
        </w:rPr>
        <w:t>use in the course of trade</w:t>
      </w:r>
      <w:r w:rsidRPr="00514066">
        <w:rPr>
          <w:rFonts w:ascii="Times New Roman" w:hAnsi="Times New Roman" w:cs="Times New Roman"/>
          <w:color w:val="232323"/>
          <w:lang w:val="en-GB"/>
        </w:rPr>
        <w:t xml:space="preserve">’. The </w:t>
      </w:r>
      <w:r w:rsidR="00BE2557">
        <w:rPr>
          <w:rFonts w:ascii="Times New Roman" w:hAnsi="Times New Roman" w:cs="Times New Roman"/>
          <w:color w:val="232323"/>
          <w:lang w:val="en-GB"/>
        </w:rPr>
        <w:t>court</w:t>
      </w:r>
      <w:r w:rsidRPr="00514066">
        <w:rPr>
          <w:rFonts w:ascii="Times New Roman" w:hAnsi="Times New Roman" w:cs="Times New Roman"/>
          <w:color w:val="232323"/>
          <w:lang w:val="en-GB"/>
        </w:rPr>
        <w:t xml:space="preserve"> asserted that the re</w:t>
      </w:r>
      <w:r w:rsidR="00ED3FF8">
        <w:rPr>
          <w:rFonts w:ascii="Times New Roman" w:hAnsi="Times New Roman" w:cs="Times New Roman"/>
          <w:color w:val="232323"/>
          <w:lang w:val="en-GB"/>
        </w:rPr>
        <w:t xml:space="preserve">filling and relabelling, leaving the embossed trademark on the </w:t>
      </w:r>
      <w:r w:rsidRPr="00514066">
        <w:rPr>
          <w:rFonts w:ascii="Times New Roman" w:hAnsi="Times New Roman" w:cs="Times New Roman"/>
          <w:color w:val="232323"/>
          <w:lang w:val="en-GB"/>
        </w:rPr>
        <w:t>packaging is only allowed when th</w:t>
      </w:r>
      <w:r w:rsidR="00ED3FF8">
        <w:rPr>
          <w:rFonts w:ascii="Times New Roman" w:hAnsi="Times New Roman" w:cs="Times New Roman"/>
          <w:color w:val="232323"/>
          <w:lang w:val="en-GB"/>
        </w:rPr>
        <w:t xml:space="preserve">e average consumer does not (from that) infer a commercial link between the </w:t>
      </w:r>
      <w:proofErr w:type="spellStart"/>
      <w:r w:rsidR="00ED3FF8">
        <w:rPr>
          <w:rFonts w:ascii="Times New Roman" w:hAnsi="Times New Roman" w:cs="Times New Roman"/>
          <w:color w:val="232323"/>
          <w:lang w:val="en-GB"/>
        </w:rPr>
        <w:t>refiller</w:t>
      </w:r>
      <w:proofErr w:type="spellEnd"/>
      <w:r w:rsidR="00ED3FF8">
        <w:rPr>
          <w:rFonts w:ascii="Times New Roman" w:hAnsi="Times New Roman" w:cs="Times New Roman"/>
          <w:color w:val="232323"/>
          <w:lang w:val="en-GB"/>
        </w:rPr>
        <w:t>/refilled product and the trademark holder</w:t>
      </w:r>
      <w:r w:rsidRPr="00514066">
        <w:rPr>
          <w:rFonts w:ascii="Times New Roman" w:hAnsi="Times New Roman" w:cs="Times New Roman"/>
          <w:color w:val="232323"/>
          <w:lang w:val="en-GB"/>
        </w:rPr>
        <w:t>.</w:t>
      </w:r>
      <w:r w:rsidR="00ED3FF8">
        <w:rPr>
          <w:rFonts w:ascii="Times New Roman" w:hAnsi="Times New Roman" w:cs="Times New Roman"/>
          <w:color w:val="232323"/>
          <w:lang w:val="en-GB"/>
        </w:rPr>
        <w:t xml:space="preserve"> Depending on the circumstances, like the fact that the cylinders are intended to te reused and refilled many times and the text on the new labels, it is possible that the average consumer does not infer a </w:t>
      </w:r>
      <w:r w:rsidR="00745FEA">
        <w:rPr>
          <w:rFonts w:ascii="Times New Roman" w:hAnsi="Times New Roman" w:cs="Times New Roman"/>
          <w:color w:val="232323"/>
          <w:lang w:val="en-GB"/>
        </w:rPr>
        <w:t>commercial link (which is, however, the starting point), and that thus no functions of the trademark are harmed</w:t>
      </w:r>
      <w:r w:rsidRPr="00514066">
        <w:rPr>
          <w:rFonts w:ascii="Times New Roman" w:hAnsi="Times New Roman" w:cs="Times New Roman"/>
          <w:color w:val="232323"/>
          <w:lang w:val="en-GB"/>
        </w:rPr>
        <w:t xml:space="preserve">. </w:t>
      </w:r>
    </w:p>
    <w:bookmarkEnd w:id="7"/>
    <w:p w14:paraId="717C3F39" w14:textId="16705CA9"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232323"/>
          <w:lang w:val="en-GB"/>
        </w:rPr>
        <w:t>Re</w:t>
      </w:r>
      <w:r w:rsidR="00745FEA">
        <w:rPr>
          <w:rFonts w:ascii="Times New Roman" w:hAnsi="Times New Roman" w:cs="Times New Roman"/>
          <w:color w:val="232323"/>
          <w:lang w:val="en-GB"/>
        </w:rPr>
        <w:t>ferring</w:t>
      </w:r>
      <w:r w:rsidRPr="00514066">
        <w:rPr>
          <w:rFonts w:ascii="Times New Roman" w:hAnsi="Times New Roman" w:cs="Times New Roman"/>
          <w:color w:val="232323"/>
          <w:lang w:val="en-GB"/>
        </w:rPr>
        <w:t xml:space="preserve"> back to the EPAL-case (paragraph 2.2.)</w:t>
      </w:r>
      <w:r w:rsidR="00745FEA">
        <w:rPr>
          <w:rFonts w:ascii="Times New Roman" w:hAnsi="Times New Roman" w:cs="Times New Roman"/>
          <w:color w:val="232323"/>
          <w:lang w:val="en-GB"/>
        </w:rPr>
        <w:t>,</w:t>
      </w:r>
      <w:r w:rsidRPr="00514066">
        <w:rPr>
          <w:rFonts w:ascii="Times New Roman" w:hAnsi="Times New Roman" w:cs="Times New Roman"/>
          <w:color w:val="232323"/>
          <w:lang w:val="en-GB"/>
        </w:rPr>
        <w:t xml:space="preserve"> this case may answer some questions surrounding the repair and resale of goods. Apparently, </w:t>
      </w:r>
      <w:r w:rsidR="00745FEA">
        <w:rPr>
          <w:rFonts w:ascii="Times New Roman" w:hAnsi="Times New Roman" w:cs="Times New Roman"/>
          <w:color w:val="232323"/>
          <w:lang w:val="en-GB"/>
        </w:rPr>
        <w:t xml:space="preserve">being sufficiently clear about the origin of refilled product, that is typically recycled, </w:t>
      </w:r>
      <w:r w:rsidRPr="00514066">
        <w:rPr>
          <w:rFonts w:ascii="Times New Roman" w:hAnsi="Times New Roman" w:cs="Times New Roman"/>
          <w:color w:val="232323"/>
          <w:lang w:val="en-GB"/>
        </w:rPr>
        <w:t xml:space="preserve">is deemed sufficient to take away any consumer confusion. </w:t>
      </w:r>
      <w:r w:rsidR="00745FEA">
        <w:rPr>
          <w:rFonts w:ascii="Times New Roman" w:hAnsi="Times New Roman" w:cs="Times New Roman"/>
          <w:color w:val="232323"/>
          <w:lang w:val="en-GB"/>
        </w:rPr>
        <w:t xml:space="preserve">On the one hand this suggests that </w:t>
      </w:r>
      <w:r w:rsidRPr="00514066">
        <w:rPr>
          <w:rFonts w:ascii="Times New Roman" w:hAnsi="Times New Roman" w:cs="Times New Roman"/>
          <w:color w:val="232323"/>
          <w:lang w:val="en-GB"/>
        </w:rPr>
        <w:t>a verbal communication would not suffice, as this is not visible on the product itself after sales</w:t>
      </w:r>
      <w:r w:rsidR="00745FEA">
        <w:rPr>
          <w:rFonts w:ascii="Times New Roman" w:hAnsi="Times New Roman" w:cs="Times New Roman"/>
          <w:color w:val="232323"/>
          <w:lang w:val="en-GB"/>
        </w:rPr>
        <w:t>, but that in some cases (sufficiently clear) relabelling would so the trick</w:t>
      </w:r>
      <w:r w:rsidRPr="00514066">
        <w:rPr>
          <w:rFonts w:ascii="Times New Roman" w:hAnsi="Times New Roman" w:cs="Times New Roman"/>
          <w:color w:val="232323"/>
          <w:lang w:val="en-GB"/>
        </w:rPr>
        <w:t xml:space="preserve">. </w:t>
      </w:r>
      <w:r w:rsidR="00745FEA">
        <w:rPr>
          <w:rFonts w:ascii="Times New Roman" w:hAnsi="Times New Roman" w:cs="Times New Roman"/>
          <w:color w:val="232323"/>
          <w:lang w:val="en-GB"/>
        </w:rPr>
        <w:t>And w</w:t>
      </w:r>
      <w:r w:rsidRPr="00514066">
        <w:rPr>
          <w:rFonts w:ascii="Times New Roman" w:hAnsi="Times New Roman" w:cs="Times New Roman"/>
          <w:color w:val="232323"/>
          <w:lang w:val="en-GB"/>
        </w:rPr>
        <w:t xml:space="preserve">hat if the label can be easily removed (such as the stickers on the iPhone screens in the Norwegian case)? </w:t>
      </w:r>
    </w:p>
    <w:p w14:paraId="46926059" w14:textId="77777777" w:rsidR="00514066" w:rsidRPr="00514066" w:rsidRDefault="00514066" w:rsidP="00514066">
      <w:pPr>
        <w:rPr>
          <w:rFonts w:ascii="Times New Roman" w:hAnsi="Times New Roman" w:cs="Times New Roman"/>
          <w:color w:val="000000" w:themeColor="text1"/>
          <w:lang w:val="en-GB"/>
        </w:rPr>
      </w:pPr>
    </w:p>
    <w:p w14:paraId="78870CDF" w14:textId="77777777" w:rsidR="00514066" w:rsidRPr="00514066" w:rsidRDefault="00514066" w:rsidP="00514066">
      <w:pPr>
        <w:pStyle w:val="BrauwK2"/>
        <w:rPr>
          <w:rFonts w:ascii="Times New Roman" w:hAnsi="Times New Roman"/>
          <w:sz w:val="22"/>
          <w:lang w:val="en-GB"/>
        </w:rPr>
      </w:pPr>
      <w:r w:rsidRPr="00514066">
        <w:rPr>
          <w:rFonts w:ascii="Times New Roman" w:hAnsi="Times New Roman"/>
          <w:sz w:val="22"/>
          <w:lang w:val="en-GB"/>
        </w:rPr>
        <w:lastRenderedPageBreak/>
        <w:t xml:space="preserve"> </w:t>
      </w:r>
      <w:bookmarkStart w:id="8" w:name="_Toc126335484"/>
      <w:r w:rsidRPr="00514066">
        <w:rPr>
          <w:rFonts w:ascii="Times New Roman" w:hAnsi="Times New Roman"/>
          <w:sz w:val="22"/>
          <w:lang w:val="en-GB"/>
        </w:rPr>
        <w:t>Repackaging of products (especially pharmaceuticals)</w:t>
      </w:r>
      <w:bookmarkEnd w:id="8"/>
      <w:r w:rsidRPr="00514066">
        <w:rPr>
          <w:rFonts w:ascii="Times New Roman" w:hAnsi="Times New Roman"/>
          <w:sz w:val="22"/>
          <w:lang w:val="en-GB"/>
        </w:rPr>
        <w:t xml:space="preserve"> </w:t>
      </w:r>
    </w:p>
    <w:p w14:paraId="7005BF58" w14:textId="6AEAB5D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Five conditions for the legitimate repackaging of products follow from case law (</w:t>
      </w:r>
      <w:r w:rsidR="00745FEA">
        <w:rPr>
          <w:rFonts w:ascii="Times New Roman" w:hAnsi="Times New Roman" w:cs="Times New Roman"/>
          <w:color w:val="000000" w:themeColor="text1"/>
          <w:lang w:val="en-GB"/>
        </w:rPr>
        <w:t xml:space="preserve">informal </w:t>
      </w:r>
      <w:r w:rsidRPr="00514066">
        <w:rPr>
          <w:rFonts w:ascii="Times New Roman" w:hAnsi="Times New Roman" w:cs="Times New Roman"/>
          <w:color w:val="000000" w:themeColor="text1"/>
          <w:lang w:val="en-GB"/>
        </w:rPr>
        <w:t>translation):</w:t>
      </w:r>
    </w:p>
    <w:p w14:paraId="089EE35C"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It follows that the trademark proprietor may prohibit the alteration resulting from any repackaging of a medicinal product bearing his trademark which, by its nature, is liable to affect the original condition of the medicinal product, unless five conditions are met, namely:</w:t>
      </w:r>
    </w:p>
    <w:p w14:paraId="5284E609"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that it is proved that the use of the trademark right by its holder to oppose the marketing of the repackaged products under his trademark would contribute to an artificial partitioning of the markets between Member States;</w:t>
      </w:r>
    </w:p>
    <w:p w14:paraId="4F79C827"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that it has been shown that the repackaging cannot affect the original condition of the product in the packaging;</w:t>
      </w:r>
    </w:p>
    <w:p w14:paraId="0E0054B1"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That the new packaging clearly indicates who repackaged the product and who manufactured it;</w:t>
      </w:r>
    </w:p>
    <w:p w14:paraId="3DBDB995"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That the presentation of the repackaged product cannot damage the reputation of the trademark and of the trademark holder; for example, the packaging must not be defective, of poor quality or untidy;</w:t>
      </w:r>
    </w:p>
    <w:p w14:paraId="32855435" w14:textId="6D9FACE7" w:rsidR="00514066" w:rsidRPr="00514066" w:rsidRDefault="00514066" w:rsidP="00514066">
      <w:pPr>
        <w:pStyle w:val="Brauwcitaat"/>
        <w:rPr>
          <w:rFonts w:ascii="Times New Roman" w:hAnsi="Times New Roman"/>
          <w:b/>
          <w:bCs/>
          <w:sz w:val="22"/>
          <w:lang w:val="en-GB"/>
        </w:rPr>
      </w:pPr>
      <w:r w:rsidRPr="00514066">
        <w:rPr>
          <w:rFonts w:ascii="Times New Roman" w:hAnsi="Times New Roman"/>
          <w:sz w:val="22"/>
          <w:lang w:val="en-GB"/>
        </w:rPr>
        <w:t xml:space="preserve">- that the importer gives prior notice to the proprietor of the trade mark that the repackaged product is to be put on the market, and, at his request, provides him with a </w:t>
      </w:r>
      <w:r w:rsidR="00745FEA">
        <w:rPr>
          <w:rFonts w:ascii="Times New Roman" w:hAnsi="Times New Roman"/>
          <w:sz w:val="22"/>
          <w:lang w:val="en-GB"/>
        </w:rPr>
        <w:t>sample</w:t>
      </w:r>
      <w:r w:rsidRPr="00514066">
        <w:rPr>
          <w:rFonts w:ascii="Times New Roman" w:hAnsi="Times New Roman"/>
          <w:sz w:val="22"/>
          <w:lang w:val="en-GB"/>
        </w:rPr>
        <w:t xml:space="preserve"> of the repackaged product</w:t>
      </w:r>
      <w:r w:rsidRPr="00514066">
        <w:rPr>
          <w:rFonts w:ascii="Times New Roman" w:hAnsi="Times New Roman"/>
          <w:b/>
          <w:bCs/>
          <w:sz w:val="22"/>
          <w:lang w:val="en-GB"/>
        </w:rPr>
        <w:t xml:space="preserve">. </w:t>
      </w:r>
      <w:r w:rsidRPr="00514066">
        <w:rPr>
          <w:rFonts w:ascii="Times New Roman" w:hAnsi="Times New Roman"/>
          <w:b/>
          <w:bCs/>
          <w:sz w:val="22"/>
          <w:vertAlign w:val="superscript"/>
          <w:lang w:val="en-GB"/>
        </w:rPr>
        <w:footnoteReference w:id="24"/>
      </w:r>
    </w:p>
    <w:p w14:paraId="7FB828FE" w14:textId="77777777" w:rsidR="00745FEA" w:rsidRDefault="00514066" w:rsidP="00745FEA">
      <w:pPr>
        <w:spacing w:line="240" w:lineRule="auto"/>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In </w:t>
      </w:r>
      <w:r w:rsidRPr="00514066">
        <w:rPr>
          <w:rFonts w:ascii="Times New Roman" w:hAnsi="Times New Roman" w:cs="Times New Roman"/>
          <w:i/>
          <w:iCs/>
          <w:color w:val="000000" w:themeColor="text1"/>
          <w:lang w:val="en-GB"/>
        </w:rPr>
        <w:t>Junek v</w:t>
      </w:r>
      <w:r w:rsidRPr="00514066">
        <w:rPr>
          <w:rFonts w:ascii="Times New Roman" w:hAnsi="Times New Roman" w:cs="Times New Roman"/>
          <w:i/>
          <w:iCs/>
          <w:lang w:val="en-GB"/>
        </w:rPr>
        <w:t xml:space="preserve"> </w:t>
      </w:r>
      <w:r w:rsidRPr="00514066">
        <w:rPr>
          <w:rFonts w:ascii="Times New Roman" w:hAnsi="Times New Roman" w:cs="Times New Roman"/>
          <w:i/>
          <w:iCs/>
          <w:color w:val="000000" w:themeColor="text1"/>
          <w:lang w:val="en-GB"/>
        </w:rPr>
        <w:t>Lohmann &amp; Rauscher</w:t>
      </w:r>
      <w:r w:rsidRPr="00514066">
        <w:rPr>
          <w:rFonts w:ascii="Times New Roman" w:hAnsi="Times New Roman" w:cs="Times New Roman"/>
          <w:color w:val="000000" w:themeColor="text1"/>
          <w:lang w:val="en-GB"/>
        </w:rPr>
        <w:t xml:space="preserve"> the court determined that no repackaging occurs when only a small sticker is affixed that does not conceal the brand or any product codes. For the packaging of pharmaceuticals additional requirements apply when it comes to traceability and origin in order to guarantee the safety and effectiveness. </w:t>
      </w:r>
      <w:r w:rsidRPr="00514066">
        <w:rPr>
          <w:rStyle w:val="FootnoteReference"/>
          <w:rFonts w:ascii="Times New Roman" w:hAnsi="Times New Roman" w:cs="Times New Roman"/>
          <w:color w:val="000000" w:themeColor="text1"/>
        </w:rPr>
        <w:footnoteReference w:id="25"/>
      </w:r>
      <w:r w:rsidRPr="00514066">
        <w:rPr>
          <w:rFonts w:ascii="Times New Roman" w:hAnsi="Times New Roman" w:cs="Times New Roman"/>
          <w:color w:val="000000" w:themeColor="text1"/>
          <w:lang w:val="en-GB"/>
        </w:rPr>
        <w:t xml:space="preserve"> When it is sufficient to use a sticker? An</w:t>
      </w:r>
      <w:r w:rsidR="00745FEA">
        <w:rPr>
          <w:rFonts w:ascii="Times New Roman" w:hAnsi="Times New Roman" w:cs="Times New Roman"/>
          <w:color w:val="000000" w:themeColor="text1"/>
          <w:lang w:val="en-GB"/>
        </w:rPr>
        <w:t>d</w:t>
      </w:r>
      <w:r w:rsidRPr="00514066">
        <w:rPr>
          <w:rFonts w:ascii="Times New Roman" w:hAnsi="Times New Roman" w:cs="Times New Roman"/>
          <w:color w:val="000000" w:themeColor="text1"/>
          <w:lang w:val="en-GB"/>
        </w:rPr>
        <w:t xml:space="preserve"> if that a sticker is sufficient, would that mean that repackaging is not in fact necessary? Could a trademark holder in theory object to all repackaging (in product of a similar nature)? Would this be applicable to all products or only to certain types of packaging? </w:t>
      </w:r>
      <w:r w:rsidRPr="00514066">
        <w:rPr>
          <w:rFonts w:ascii="Times New Roman" w:hAnsi="Times New Roman" w:cs="Times New Roman"/>
          <w:color w:val="000000" w:themeColor="text1"/>
          <w:lang w:val="en-GB"/>
        </w:rPr>
        <w:br/>
      </w:r>
    </w:p>
    <w:p w14:paraId="30C83280" w14:textId="6C33FCA5" w:rsidR="00514066" w:rsidRPr="00514066" w:rsidRDefault="00514066" w:rsidP="00745FEA">
      <w:pPr>
        <w:spacing w:line="240" w:lineRule="auto"/>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Sometimes repackaging is necessary in case of parallel import</w:t>
      </w:r>
      <w:r w:rsidR="00745FEA">
        <w:rPr>
          <w:rFonts w:ascii="Times New Roman" w:hAnsi="Times New Roman" w:cs="Times New Roman"/>
          <w:color w:val="000000" w:themeColor="text1"/>
          <w:lang w:val="en-GB"/>
        </w:rPr>
        <w:t>s</w:t>
      </w:r>
      <w:r w:rsidRPr="00514066">
        <w:rPr>
          <w:rFonts w:ascii="Times New Roman" w:hAnsi="Times New Roman" w:cs="Times New Roman"/>
          <w:color w:val="000000" w:themeColor="text1"/>
          <w:lang w:val="en-GB"/>
        </w:rPr>
        <w:t xml:space="preserve">. This may require certain modifications that damage the initial safety seals or anti tampering devices placed </w:t>
      </w:r>
      <w:r w:rsidR="00745FEA">
        <w:rPr>
          <w:rFonts w:ascii="Times New Roman" w:hAnsi="Times New Roman" w:cs="Times New Roman"/>
          <w:color w:val="000000" w:themeColor="text1"/>
          <w:lang w:val="en-GB"/>
        </w:rPr>
        <w:t xml:space="preserve">on the product </w:t>
      </w:r>
      <w:r w:rsidRPr="00514066">
        <w:rPr>
          <w:rFonts w:ascii="Times New Roman" w:hAnsi="Times New Roman" w:cs="Times New Roman"/>
          <w:color w:val="000000" w:themeColor="text1"/>
          <w:lang w:val="en-GB"/>
        </w:rPr>
        <w:t>by the trademark holder</w:t>
      </w:r>
      <w:r w:rsidR="0021263C">
        <w:rPr>
          <w:rFonts w:ascii="Times New Roman" w:hAnsi="Times New Roman" w:cs="Times New Roman"/>
          <w:color w:val="000000" w:themeColor="text1"/>
          <w:lang w:val="en-GB"/>
        </w:rPr>
        <w:t xml:space="preserve">; </w:t>
      </w:r>
      <w:r w:rsidRPr="00514066">
        <w:rPr>
          <w:rFonts w:ascii="Times New Roman" w:hAnsi="Times New Roman" w:cs="Times New Roman"/>
          <w:color w:val="000000" w:themeColor="text1"/>
          <w:lang w:val="en-GB"/>
        </w:rPr>
        <w:t xml:space="preserve">there may </w:t>
      </w:r>
      <w:r w:rsidR="0021263C">
        <w:rPr>
          <w:rFonts w:ascii="Times New Roman" w:hAnsi="Times New Roman" w:cs="Times New Roman"/>
          <w:color w:val="000000" w:themeColor="text1"/>
          <w:lang w:val="en-GB"/>
        </w:rPr>
        <w:t xml:space="preserve">then </w:t>
      </w:r>
      <w:r w:rsidRPr="00514066">
        <w:rPr>
          <w:rFonts w:ascii="Times New Roman" w:hAnsi="Times New Roman" w:cs="Times New Roman"/>
          <w:color w:val="000000" w:themeColor="text1"/>
          <w:lang w:val="en-GB"/>
        </w:rPr>
        <w:t xml:space="preserve">be a right to object to the resale of those products. However, could that mean certain parts of the internal market are effectively cut off when repackaging is mandatory? What other types of modification to the packaging </w:t>
      </w:r>
      <w:r w:rsidR="00745FEA">
        <w:rPr>
          <w:rFonts w:ascii="Times New Roman" w:hAnsi="Times New Roman" w:cs="Times New Roman"/>
          <w:color w:val="000000" w:themeColor="text1"/>
          <w:lang w:val="en-GB"/>
        </w:rPr>
        <w:t>is</w:t>
      </w:r>
      <w:r w:rsidRPr="00514066">
        <w:rPr>
          <w:rFonts w:ascii="Times New Roman" w:hAnsi="Times New Roman" w:cs="Times New Roman"/>
          <w:color w:val="000000" w:themeColor="text1"/>
          <w:lang w:val="en-GB"/>
        </w:rPr>
        <w:t xml:space="preserve"> allowed? </w:t>
      </w:r>
      <w:r w:rsidRPr="00514066">
        <w:rPr>
          <w:rStyle w:val="FootnoteReference"/>
          <w:rFonts w:ascii="Times New Roman" w:hAnsi="Times New Roman" w:cs="Times New Roman"/>
          <w:color w:val="000000" w:themeColor="text1"/>
        </w:rPr>
        <w:footnoteReference w:id="26"/>
      </w:r>
    </w:p>
    <w:p w14:paraId="1D653808" w14:textId="118D2795"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Where </w:t>
      </w:r>
      <w:r w:rsidR="0021263C">
        <w:rPr>
          <w:rFonts w:ascii="Times New Roman" w:hAnsi="Times New Roman" w:cs="Times New Roman"/>
          <w:color w:val="000000" w:themeColor="text1"/>
          <w:lang w:val="en-GB"/>
        </w:rPr>
        <w:t>to draw</w:t>
      </w:r>
      <w:r w:rsidRPr="00514066">
        <w:rPr>
          <w:rFonts w:ascii="Times New Roman" w:hAnsi="Times New Roman" w:cs="Times New Roman"/>
          <w:color w:val="000000" w:themeColor="text1"/>
          <w:lang w:val="en-GB"/>
        </w:rPr>
        <w:t xml:space="preserve"> the line between </w:t>
      </w:r>
      <w:r w:rsidR="0021263C">
        <w:rPr>
          <w:rFonts w:ascii="Times New Roman" w:hAnsi="Times New Roman" w:cs="Times New Roman"/>
          <w:color w:val="000000" w:themeColor="text1"/>
          <w:lang w:val="en-GB"/>
        </w:rPr>
        <w:t>allowing parallel trade in the EEA and</w:t>
      </w:r>
      <w:r w:rsidRPr="00514066">
        <w:rPr>
          <w:rFonts w:ascii="Times New Roman" w:hAnsi="Times New Roman" w:cs="Times New Roman"/>
          <w:color w:val="000000" w:themeColor="text1"/>
          <w:lang w:val="en-GB"/>
        </w:rPr>
        <w:t xml:space="preserve"> guaranteeing the safety and </w:t>
      </w:r>
      <w:r w:rsidR="0021263C">
        <w:rPr>
          <w:rFonts w:ascii="Times New Roman" w:hAnsi="Times New Roman" w:cs="Times New Roman"/>
          <w:color w:val="000000" w:themeColor="text1"/>
          <w:lang w:val="en-GB"/>
        </w:rPr>
        <w:t xml:space="preserve">the integrity of </w:t>
      </w:r>
      <w:r w:rsidRPr="00514066">
        <w:rPr>
          <w:rFonts w:ascii="Times New Roman" w:hAnsi="Times New Roman" w:cs="Times New Roman"/>
          <w:color w:val="000000" w:themeColor="text1"/>
          <w:lang w:val="en-GB"/>
        </w:rPr>
        <w:t>pharmaceutical</w:t>
      </w:r>
      <w:r w:rsidR="0021263C">
        <w:rPr>
          <w:rFonts w:ascii="Times New Roman" w:hAnsi="Times New Roman" w:cs="Times New Roman"/>
          <w:color w:val="000000" w:themeColor="text1"/>
          <w:lang w:val="en-GB"/>
        </w:rPr>
        <w:t xml:space="preserve"> products (where this is more sensitive than most other products)</w:t>
      </w:r>
      <w:r w:rsidRPr="00514066">
        <w:rPr>
          <w:rFonts w:ascii="Times New Roman" w:hAnsi="Times New Roman" w:cs="Times New Roman"/>
          <w:color w:val="000000" w:themeColor="text1"/>
          <w:lang w:val="en-GB"/>
        </w:rPr>
        <w:t xml:space="preserve">? What does the consumer find acceptable and when is repackaging too suspect? </w:t>
      </w:r>
      <w:r w:rsidRPr="00514066">
        <w:rPr>
          <w:rStyle w:val="FootnoteReference"/>
          <w:rFonts w:ascii="Times New Roman" w:hAnsi="Times New Roman" w:cs="Times New Roman"/>
          <w:color w:val="000000" w:themeColor="text1"/>
        </w:rPr>
        <w:footnoteReference w:id="27"/>
      </w:r>
    </w:p>
    <w:p w14:paraId="4F235409" w14:textId="77777777" w:rsidR="00514066" w:rsidRPr="00514066" w:rsidRDefault="00514066" w:rsidP="00514066">
      <w:pPr>
        <w:rPr>
          <w:rFonts w:ascii="Times New Roman" w:hAnsi="Times New Roman" w:cs="Times New Roman"/>
          <w:color w:val="000000" w:themeColor="text1"/>
          <w:lang w:val="en-GB"/>
        </w:rPr>
      </w:pPr>
    </w:p>
    <w:p w14:paraId="195BC1E7" w14:textId="77777777" w:rsidR="00514066" w:rsidRPr="00514066" w:rsidRDefault="00514066" w:rsidP="00514066">
      <w:pPr>
        <w:pStyle w:val="BrauwK2"/>
        <w:rPr>
          <w:rFonts w:ascii="Times New Roman" w:hAnsi="Times New Roman"/>
          <w:sz w:val="22"/>
          <w:lang w:val="en-GB"/>
        </w:rPr>
      </w:pPr>
      <w:bookmarkStart w:id="9" w:name="_Toc126335485"/>
      <w:r w:rsidRPr="00514066">
        <w:rPr>
          <w:rFonts w:ascii="Times New Roman" w:hAnsi="Times New Roman"/>
          <w:sz w:val="22"/>
          <w:lang w:val="en-GB"/>
        </w:rPr>
        <w:lastRenderedPageBreak/>
        <w:t xml:space="preserve">Question of limits of </w:t>
      </w:r>
      <w:proofErr w:type="spellStart"/>
      <w:r w:rsidRPr="00514066">
        <w:rPr>
          <w:rFonts w:ascii="Times New Roman" w:hAnsi="Times New Roman"/>
          <w:sz w:val="22"/>
          <w:lang w:val="en-GB"/>
        </w:rPr>
        <w:t>debranding</w:t>
      </w:r>
      <w:proofErr w:type="spellEnd"/>
      <w:r w:rsidRPr="00514066">
        <w:rPr>
          <w:rFonts w:ascii="Times New Roman" w:hAnsi="Times New Roman"/>
          <w:sz w:val="22"/>
          <w:lang w:val="en-GB"/>
        </w:rPr>
        <w:t>/rebranding</w:t>
      </w:r>
      <w:bookmarkEnd w:id="9"/>
      <w:r w:rsidRPr="00514066">
        <w:rPr>
          <w:rFonts w:ascii="Times New Roman" w:hAnsi="Times New Roman"/>
          <w:sz w:val="22"/>
          <w:lang w:val="en-GB"/>
        </w:rPr>
        <w:t xml:space="preserve"> </w:t>
      </w:r>
    </w:p>
    <w:p w14:paraId="702A6C38" w14:textId="734E2811"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In </w:t>
      </w:r>
      <w:proofErr w:type="spellStart"/>
      <w:r w:rsidRPr="00514066">
        <w:rPr>
          <w:rFonts w:ascii="Times New Roman" w:hAnsi="Times New Roman" w:cs="Times New Roman"/>
          <w:color w:val="000000" w:themeColor="text1"/>
          <w:lang w:val="en-GB"/>
        </w:rPr>
        <w:t>Kort</w:t>
      </w:r>
      <w:proofErr w:type="spellEnd"/>
      <w:r w:rsidRPr="00514066">
        <w:rPr>
          <w:rFonts w:ascii="Times New Roman" w:hAnsi="Times New Roman" w:cs="Times New Roman"/>
          <w:color w:val="000000" w:themeColor="text1"/>
          <w:lang w:val="en-GB"/>
        </w:rPr>
        <w:t xml:space="preserve"> Begrip, Verschuur raises several questions surrounding the </w:t>
      </w:r>
      <w:r w:rsidRPr="00514066">
        <w:rPr>
          <w:rFonts w:ascii="Times New Roman" w:hAnsi="Times New Roman" w:cs="Times New Roman"/>
          <w:i/>
          <w:iCs/>
          <w:color w:val="000000" w:themeColor="text1"/>
          <w:lang w:val="en-GB"/>
        </w:rPr>
        <w:t>Mitsubishi v Duma</w:t>
      </w:r>
      <w:r w:rsidRPr="00514066">
        <w:rPr>
          <w:rFonts w:ascii="Times New Roman" w:hAnsi="Times New Roman" w:cs="Times New Roman"/>
          <w:color w:val="000000" w:themeColor="text1"/>
          <w:lang w:val="en-GB"/>
        </w:rPr>
        <w:t xml:space="preserve"> ruling and the </w:t>
      </w:r>
      <w:proofErr w:type="spellStart"/>
      <w:r w:rsidRPr="00514066">
        <w:rPr>
          <w:rFonts w:ascii="Times New Roman" w:hAnsi="Times New Roman" w:cs="Times New Roman"/>
          <w:color w:val="000000" w:themeColor="text1"/>
          <w:lang w:val="en-GB"/>
        </w:rPr>
        <w:t>debranding</w:t>
      </w:r>
      <w:proofErr w:type="spellEnd"/>
      <w:r w:rsidRPr="00514066">
        <w:rPr>
          <w:rFonts w:ascii="Times New Roman" w:hAnsi="Times New Roman" w:cs="Times New Roman"/>
          <w:color w:val="000000" w:themeColor="text1"/>
          <w:lang w:val="en-GB"/>
        </w:rPr>
        <w:t xml:space="preserve"> of products before import into the EEA.</w:t>
      </w:r>
      <w:r w:rsidRPr="00514066">
        <w:rPr>
          <w:rFonts w:ascii="Times New Roman" w:hAnsi="Times New Roman" w:cs="Times New Roman"/>
          <w:vertAlign w:val="superscript"/>
          <w:lang w:val="en-GB"/>
        </w:rPr>
        <w:t xml:space="preserve"> </w:t>
      </w:r>
      <w:r w:rsidRPr="00514066">
        <w:rPr>
          <w:rFonts w:ascii="Times New Roman" w:hAnsi="Times New Roman" w:cs="Times New Roman"/>
          <w:vertAlign w:val="superscript"/>
          <w:lang w:val="en-GB"/>
        </w:rPr>
        <w:footnoteReference w:id="28"/>
      </w:r>
      <w:r w:rsidRPr="00514066">
        <w:rPr>
          <w:rFonts w:ascii="Times New Roman" w:hAnsi="Times New Roman" w:cs="Times New Roman"/>
          <w:color w:val="000000" w:themeColor="text1"/>
          <w:lang w:val="en-GB"/>
        </w:rPr>
        <w:t xml:space="preserve">  She notes that before this ruling the removal of </w:t>
      </w:r>
      <w:r w:rsidR="0021263C">
        <w:rPr>
          <w:rFonts w:ascii="Times New Roman" w:hAnsi="Times New Roman" w:cs="Times New Roman"/>
          <w:color w:val="000000" w:themeColor="text1"/>
          <w:lang w:val="en-GB"/>
        </w:rPr>
        <w:t>a</w:t>
      </w:r>
      <w:r w:rsidRPr="00514066">
        <w:rPr>
          <w:rFonts w:ascii="Times New Roman" w:hAnsi="Times New Roman" w:cs="Times New Roman"/>
          <w:color w:val="000000" w:themeColor="text1"/>
          <w:lang w:val="en-GB"/>
        </w:rPr>
        <w:t xml:space="preserve"> trademark was not considered ‘use in the course of trade’. Expansion of the functions of the trademark in case-law had the CJEU reconsider this doctrine. In Mitsubishi the court states th</w:t>
      </w:r>
      <w:r w:rsidR="0021263C">
        <w:rPr>
          <w:rFonts w:ascii="Times New Roman" w:hAnsi="Times New Roman" w:cs="Times New Roman"/>
          <w:color w:val="000000" w:themeColor="text1"/>
          <w:lang w:val="en-GB"/>
        </w:rPr>
        <w:t>at</w:t>
      </w:r>
      <w:r w:rsidRPr="00514066">
        <w:rPr>
          <w:rFonts w:ascii="Times New Roman" w:hAnsi="Times New Roman" w:cs="Times New Roman"/>
          <w:color w:val="000000" w:themeColor="text1"/>
          <w:lang w:val="en-GB"/>
        </w:rPr>
        <w:t xml:space="preserve"> </w:t>
      </w:r>
      <w:proofErr w:type="spellStart"/>
      <w:r w:rsidRPr="00514066">
        <w:rPr>
          <w:rFonts w:ascii="Times New Roman" w:hAnsi="Times New Roman" w:cs="Times New Roman"/>
          <w:color w:val="000000" w:themeColor="text1"/>
          <w:lang w:val="en-GB"/>
        </w:rPr>
        <w:t>debranding</w:t>
      </w:r>
      <w:proofErr w:type="spellEnd"/>
      <w:r w:rsidRPr="00514066">
        <w:rPr>
          <w:rFonts w:ascii="Times New Roman" w:hAnsi="Times New Roman" w:cs="Times New Roman"/>
          <w:color w:val="000000" w:themeColor="text1"/>
          <w:lang w:val="en-GB"/>
        </w:rPr>
        <w:t xml:space="preserve"> before import into the EEA violates the right of the trademark holder. It infringes upon the </w:t>
      </w:r>
      <w:r w:rsidR="0021263C">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t>right of the trademark holder to control the first marketing of goods bearing that trademark in the EEA</w:t>
      </w:r>
      <w:r w:rsidR="0021263C">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t xml:space="preserve"> ("</w:t>
      </w:r>
      <w:r w:rsidRPr="00514066">
        <w:rPr>
          <w:rFonts w:ascii="Times New Roman" w:hAnsi="Times New Roman" w:cs="Times New Roman"/>
          <w:b/>
          <w:bCs/>
          <w:color w:val="000000" w:themeColor="text1"/>
          <w:lang w:val="en-GB"/>
        </w:rPr>
        <w:t>the right to control</w:t>
      </w:r>
      <w:r w:rsidRPr="00514066">
        <w:rPr>
          <w:rFonts w:ascii="Times New Roman" w:hAnsi="Times New Roman" w:cs="Times New Roman"/>
          <w:color w:val="000000" w:themeColor="text1"/>
          <w:lang w:val="en-GB"/>
        </w:rPr>
        <w:t>"</w:t>
      </w:r>
      <w:r w:rsidRPr="00514066">
        <w:rPr>
          <w:rFonts w:ascii="Times New Roman" w:hAnsi="Times New Roman" w:cs="Times New Roman"/>
          <w:color w:val="000000" w:themeColor="text1"/>
          <w:lang w:val="en-GB"/>
        </w:rPr>
        <w:softHyphen/>
        <w:t>). Geerts raises the question what this expansion of the term 'active conduct in the sense of ‘</w:t>
      </w:r>
      <w:r w:rsidRPr="00514066">
        <w:rPr>
          <w:rFonts w:ascii="Times New Roman" w:hAnsi="Times New Roman" w:cs="Times New Roman"/>
          <w:i/>
          <w:iCs/>
          <w:color w:val="000000" w:themeColor="text1"/>
          <w:lang w:val="en-GB"/>
        </w:rPr>
        <w:t>use in the course of trade</w:t>
      </w:r>
      <w:r w:rsidRPr="00514066">
        <w:rPr>
          <w:rFonts w:ascii="Times New Roman" w:hAnsi="Times New Roman" w:cs="Times New Roman"/>
          <w:color w:val="000000" w:themeColor="text1"/>
          <w:lang w:val="en-GB"/>
        </w:rPr>
        <w:t xml:space="preserve">’ means. Particularly since no clarification was given on the subject of 'use in commercial communications. </w:t>
      </w:r>
      <w:r w:rsidRPr="00514066">
        <w:rPr>
          <w:rStyle w:val="FootnoteReference"/>
          <w:rFonts w:ascii="Times New Roman" w:hAnsi="Times New Roman" w:cs="Times New Roman"/>
          <w:color w:val="000000" w:themeColor="text1"/>
        </w:rPr>
        <w:footnoteReference w:id="29"/>
      </w:r>
      <w:r w:rsidRPr="00514066">
        <w:rPr>
          <w:rFonts w:ascii="Times New Roman" w:hAnsi="Times New Roman" w:cs="Times New Roman"/>
          <w:color w:val="000000" w:themeColor="text1"/>
          <w:lang w:val="en-GB"/>
        </w:rPr>
        <w:t xml:space="preserve"> </w:t>
      </w:r>
      <w:r w:rsidR="0021263C">
        <w:rPr>
          <w:rFonts w:ascii="Times New Roman" w:hAnsi="Times New Roman" w:cs="Times New Roman"/>
          <w:color w:val="000000" w:themeColor="text1"/>
          <w:lang w:val="en-GB"/>
        </w:rPr>
        <w:t>Bronneman sees an entirely new exclusive trademark right being created by the ECJ here.</w:t>
      </w:r>
      <w:r w:rsidR="0021263C">
        <w:rPr>
          <w:rStyle w:val="FootnoteReference"/>
          <w:rFonts w:ascii="Times New Roman" w:hAnsi="Times New Roman" w:cs="Times New Roman"/>
          <w:color w:val="000000" w:themeColor="text1"/>
        </w:rPr>
        <w:footnoteReference w:id="30"/>
      </w:r>
      <w:r w:rsidR="0021263C">
        <w:rPr>
          <w:rFonts w:ascii="Times New Roman" w:hAnsi="Times New Roman" w:cs="Times New Roman"/>
          <w:color w:val="000000" w:themeColor="text1"/>
          <w:lang w:val="en-GB"/>
        </w:rPr>
        <w:t xml:space="preserve"> </w:t>
      </w:r>
    </w:p>
    <w:p w14:paraId="06DD1591" w14:textId="65280C5A"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In another perspective, Koenraad &amp; Stols discuss Mitsubishi more extensively in the light of </w:t>
      </w:r>
      <w:proofErr w:type="spellStart"/>
      <w:r w:rsidRPr="00514066">
        <w:rPr>
          <w:rFonts w:ascii="Times New Roman" w:hAnsi="Times New Roman" w:cs="Times New Roman"/>
          <w:color w:val="000000" w:themeColor="text1"/>
          <w:lang w:val="en-GB"/>
        </w:rPr>
        <w:t>Primakabin</w:t>
      </w:r>
      <w:proofErr w:type="spellEnd"/>
      <w:r w:rsidRPr="00514066">
        <w:rPr>
          <w:rFonts w:ascii="Times New Roman" w:hAnsi="Times New Roman" w:cs="Times New Roman"/>
          <w:color w:val="000000" w:themeColor="text1"/>
          <w:lang w:val="en-GB"/>
        </w:rPr>
        <w:t xml:space="preserve">: </w:t>
      </w:r>
    </w:p>
    <w:p w14:paraId="6A911658" w14:textId="3D873E11"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xml:space="preserve">Mitsubishi can therefore be distinguished from the CJEU’s Portakabin case, in which the defendant continued to use the PORTAKABIN trademark to advertise its PRIMAKABIN goods, which included rebranded second-hand PORTAKABIN </w:t>
      </w:r>
      <w:r w:rsidR="0021263C">
        <w:rPr>
          <w:rFonts w:ascii="Times New Roman" w:hAnsi="Times New Roman"/>
          <w:sz w:val="22"/>
          <w:lang w:val="en-GB"/>
        </w:rPr>
        <w:t>units</w:t>
      </w:r>
      <w:r w:rsidRPr="00514066">
        <w:rPr>
          <w:rFonts w:ascii="Times New Roman" w:hAnsi="Times New Roman"/>
          <w:sz w:val="22"/>
          <w:lang w:val="en-GB"/>
        </w:rPr>
        <w:t xml:space="preserve">. It seems unlikely that the rather strange consequence of Portakabin – namely, that the </w:t>
      </w:r>
      <w:proofErr w:type="spellStart"/>
      <w:r w:rsidRPr="00514066">
        <w:rPr>
          <w:rFonts w:ascii="Times New Roman" w:hAnsi="Times New Roman"/>
          <w:sz w:val="22"/>
          <w:lang w:val="en-GB"/>
        </w:rPr>
        <w:t>debranding</w:t>
      </w:r>
      <w:proofErr w:type="spellEnd"/>
      <w:r w:rsidRPr="00514066">
        <w:rPr>
          <w:rFonts w:ascii="Times New Roman" w:hAnsi="Times New Roman"/>
          <w:sz w:val="22"/>
          <w:lang w:val="en-GB"/>
        </w:rPr>
        <w:t xml:space="preserve"> of non-exhausted goods for the purpose of import within the EEA would constitute trademark infringement, but the </w:t>
      </w:r>
      <w:proofErr w:type="spellStart"/>
      <w:r w:rsidRPr="00514066">
        <w:rPr>
          <w:rFonts w:ascii="Times New Roman" w:hAnsi="Times New Roman"/>
          <w:sz w:val="22"/>
          <w:lang w:val="en-GB"/>
        </w:rPr>
        <w:t>debranding</w:t>
      </w:r>
      <w:proofErr w:type="spellEnd"/>
      <w:r w:rsidRPr="00514066">
        <w:rPr>
          <w:rFonts w:ascii="Times New Roman" w:hAnsi="Times New Roman"/>
          <w:sz w:val="22"/>
          <w:lang w:val="en-GB"/>
        </w:rPr>
        <w:t xml:space="preserve"> of goods that are exhausted would not – has been well considered or intended by the CJEU in Mitsubishi. Since the trademark was removed and thus no longer used in the course of trade in both these situations, the difference should be irrelevant.</w:t>
      </w:r>
      <w:r w:rsidRPr="00514066">
        <w:rPr>
          <w:rFonts w:ascii="Times New Roman" w:hAnsi="Times New Roman"/>
          <w:sz w:val="22"/>
          <w:vertAlign w:val="superscript"/>
          <w:lang w:val="en-GB"/>
        </w:rPr>
        <w:t xml:space="preserve"> </w:t>
      </w:r>
      <w:r w:rsidRPr="00514066">
        <w:rPr>
          <w:rStyle w:val="FootnoteReference"/>
          <w:rFonts w:ascii="Times New Roman" w:hAnsi="Times New Roman"/>
          <w:color w:val="000000" w:themeColor="text1"/>
          <w:sz w:val="22"/>
        </w:rPr>
        <w:footnoteReference w:id="31"/>
      </w:r>
    </w:p>
    <w:p w14:paraId="1A8B21F7" w14:textId="3B06D56B" w:rsidR="00514066" w:rsidRPr="00514066" w:rsidRDefault="007211B7" w:rsidP="00514066">
      <w:pPr>
        <w:rPr>
          <w:rFonts w:ascii="Times New Roman" w:hAnsi="Times New Roman" w:cs="Times New Roman"/>
          <w:color w:val="000000" w:themeColor="text1"/>
          <w:lang w:val="en-GB"/>
        </w:rPr>
      </w:pPr>
      <w:r>
        <w:rPr>
          <w:rFonts w:ascii="Times New Roman" w:hAnsi="Times New Roman" w:cs="Times New Roman"/>
          <w:color w:val="000000" w:themeColor="text1"/>
          <w:lang w:val="en-GB"/>
        </w:rPr>
        <w:t>T</w:t>
      </w:r>
      <w:r w:rsidR="00514066" w:rsidRPr="00514066">
        <w:rPr>
          <w:rFonts w:ascii="Times New Roman" w:hAnsi="Times New Roman" w:cs="Times New Roman"/>
          <w:color w:val="000000" w:themeColor="text1"/>
          <w:lang w:val="en-GB"/>
        </w:rPr>
        <w:t xml:space="preserve">he intention of the trademark holder in the transaction increasingly seems to play a role with this implied right to control. Does that mean that all </w:t>
      </w:r>
      <w:proofErr w:type="spellStart"/>
      <w:r w:rsidR="00514066" w:rsidRPr="00514066">
        <w:rPr>
          <w:rFonts w:ascii="Times New Roman" w:hAnsi="Times New Roman" w:cs="Times New Roman"/>
          <w:color w:val="000000" w:themeColor="text1"/>
          <w:lang w:val="en-GB"/>
        </w:rPr>
        <w:t>debranding</w:t>
      </w:r>
      <w:proofErr w:type="spellEnd"/>
      <w:r w:rsidR="00514066" w:rsidRPr="00514066">
        <w:rPr>
          <w:rFonts w:ascii="Times New Roman" w:hAnsi="Times New Roman" w:cs="Times New Roman"/>
          <w:color w:val="000000" w:themeColor="text1"/>
          <w:lang w:val="en-GB"/>
        </w:rPr>
        <w:t xml:space="preserve">, whether inside or outside the EEA constitutes an infringement? How does that work out for parallel import? </w:t>
      </w:r>
    </w:p>
    <w:p w14:paraId="66A2B720" w14:textId="77777777" w:rsidR="00514066" w:rsidRPr="00514066" w:rsidRDefault="00514066" w:rsidP="00514066">
      <w:pPr>
        <w:pStyle w:val="BrauwK2"/>
        <w:rPr>
          <w:rFonts w:ascii="Times New Roman" w:hAnsi="Times New Roman"/>
          <w:sz w:val="22"/>
          <w:lang w:val="en-GB"/>
        </w:rPr>
      </w:pPr>
      <w:bookmarkStart w:id="11" w:name="_Toc126335486"/>
      <w:r w:rsidRPr="00514066">
        <w:rPr>
          <w:rFonts w:ascii="Times New Roman" w:hAnsi="Times New Roman"/>
          <w:sz w:val="22"/>
          <w:lang w:val="en-GB"/>
        </w:rPr>
        <w:t xml:space="preserve">What about the customs status of products in case of exhaustion </w:t>
      </w:r>
      <w:bookmarkEnd w:id="11"/>
    </w:p>
    <w:p w14:paraId="53E44D39" w14:textId="1B8973E9"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Following Mitsubishi, in the </w:t>
      </w:r>
      <w:r w:rsidRPr="00514066">
        <w:rPr>
          <w:rFonts w:ascii="Times New Roman" w:hAnsi="Times New Roman" w:cs="Times New Roman"/>
          <w:i/>
          <w:iCs/>
          <w:color w:val="000000" w:themeColor="text1"/>
          <w:lang w:val="en-GB"/>
        </w:rPr>
        <w:t>Hennessy v LB11</w:t>
      </w:r>
      <w:r w:rsidRPr="00514066">
        <w:rPr>
          <w:rFonts w:ascii="Times New Roman" w:hAnsi="Times New Roman" w:cs="Times New Roman"/>
          <w:color w:val="000000" w:themeColor="text1"/>
          <w:lang w:val="en-GB"/>
        </w:rPr>
        <w:t xml:space="preserve"> judgment by the court in The Hague the question was discussed how far the right to control of the trademark holder extends.</w:t>
      </w:r>
      <w:r w:rsidRPr="00514066">
        <w:rPr>
          <w:rStyle w:val="FootnoteReference"/>
          <w:rFonts w:ascii="Times New Roman" w:hAnsi="Times New Roman" w:cs="Times New Roman"/>
          <w:color w:val="000000" w:themeColor="text1"/>
        </w:rPr>
        <w:footnoteReference w:id="32"/>
      </w:r>
      <w:r w:rsidRPr="00514066">
        <w:rPr>
          <w:rFonts w:ascii="Times New Roman" w:hAnsi="Times New Roman" w:cs="Times New Roman"/>
          <w:color w:val="000000" w:themeColor="text1"/>
          <w:lang w:val="en-GB"/>
        </w:rPr>
        <w:t xml:space="preserve"> And what is the role of the trademark holder's interest in realising the 'EEA value' of its branded products? How does this right to control affect the customs status of products?</w:t>
      </w:r>
    </w:p>
    <w:p w14:paraId="7D4B905B" w14:textId="1036492F" w:rsidR="00514066" w:rsidRPr="00514066" w:rsidRDefault="00514066" w:rsidP="00514066">
      <w:pPr>
        <w:rPr>
          <w:rFonts w:ascii="Times New Roman" w:hAnsi="Times New Roman" w:cs="Times New Roman"/>
          <w:lang w:val="en-GB"/>
        </w:rPr>
      </w:pPr>
      <w:r w:rsidRPr="00514066">
        <w:rPr>
          <w:rFonts w:ascii="Times New Roman" w:hAnsi="Times New Roman" w:cs="Times New Roman"/>
          <w:lang w:val="en-GB"/>
        </w:rPr>
        <w:t xml:space="preserve">In Peak Holding the CJEU established contractual restrictions on the resale of goods do not affect exhaustion once the goods are imported in the EEA with the permission of the trademark holder. This essentially sees to the interest of the trademark holder to commercialize the goods being fulfilled after the first sale. </w:t>
      </w:r>
    </w:p>
    <w:p w14:paraId="56EDE792" w14:textId="77777777"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xml:space="preserve">22. Article 7(1) must be interpreted as meaning that goods bearing a trade mark cannot be regarded as having been put on the market in the European Economic Area where the proprietor of the trade mark has imported them into the European Economic Area with a view to selling them there or where he has offered them for </w:t>
      </w:r>
      <w:r w:rsidRPr="00514066">
        <w:rPr>
          <w:rFonts w:ascii="Times New Roman" w:hAnsi="Times New Roman"/>
          <w:sz w:val="22"/>
          <w:lang w:val="en-GB"/>
        </w:rPr>
        <w:lastRenderedPageBreak/>
        <w:t>sale to consumers in the European Economic Area, in his own shops or those of an associated company, without actually selling them…</w:t>
      </w:r>
    </w:p>
    <w:p w14:paraId="7FD9B742" w14:textId="745074A9" w:rsidR="00514066" w:rsidRPr="00514066" w:rsidRDefault="00514066" w:rsidP="00514066">
      <w:pPr>
        <w:pStyle w:val="Brauwcitaat"/>
        <w:numPr>
          <w:ilvl w:val="0"/>
          <w:numId w:val="0"/>
        </w:numPr>
        <w:ind w:left="1418"/>
        <w:rPr>
          <w:rFonts w:ascii="Times New Roman" w:hAnsi="Times New Roman"/>
          <w:sz w:val="22"/>
          <w:lang w:val="en-GB"/>
        </w:rPr>
      </w:pPr>
      <w:r w:rsidRPr="00514066">
        <w:rPr>
          <w:rFonts w:ascii="Times New Roman" w:hAnsi="Times New Roman"/>
          <w:sz w:val="22"/>
          <w:lang w:val="en-GB"/>
        </w:rPr>
        <w:t>… 56. The answer to the third question must therefore be that, in circumstances such as those of the main proceedings, the stipulation, in a contract of sale concluded between the proprietor of the trade mark and an operator established in the EEA, of a prohibition on reselling in the EEA does not mean that there is no putting on the market in the EEA within the meaning of Article 7(1) of the Directive and thus does not preclude the exhaustion of the proprietor’s exclusive rights in the event of resale in the EEA in breach of the prohibition.</w:t>
      </w:r>
      <w:r w:rsidRPr="00514066">
        <w:rPr>
          <w:rStyle w:val="FootnoteReference"/>
          <w:rFonts w:ascii="Times New Roman" w:hAnsi="Times New Roman"/>
          <w:sz w:val="22"/>
        </w:rPr>
        <w:footnoteReference w:id="33"/>
      </w:r>
    </w:p>
    <w:p w14:paraId="5E585C68" w14:textId="53568DC7"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But what if these contractual restrictions see to the actual permission of the import? What if the buyer sells the goods inside of the EU when the conditions of sale by the trademark holder outline the goods </w:t>
      </w:r>
      <w:r w:rsidRPr="00514066">
        <w:rPr>
          <w:rFonts w:ascii="Times New Roman" w:hAnsi="Times New Roman" w:cs="Times New Roman"/>
          <w:color w:val="000000" w:themeColor="text1"/>
          <w:u w:val="single"/>
          <w:lang w:val="en-GB"/>
        </w:rPr>
        <w:t>must</w:t>
      </w:r>
      <w:r w:rsidRPr="007211B7">
        <w:rPr>
          <w:rFonts w:ascii="Times New Roman" w:hAnsi="Times New Roman" w:cs="Times New Roman"/>
          <w:color w:val="000000" w:themeColor="text1"/>
          <w:lang w:val="en-GB"/>
        </w:rPr>
        <w:t xml:space="preserve"> </w:t>
      </w:r>
      <w:r w:rsidRPr="00514066">
        <w:rPr>
          <w:rFonts w:ascii="Times New Roman" w:hAnsi="Times New Roman" w:cs="Times New Roman"/>
          <w:color w:val="000000" w:themeColor="text1"/>
          <w:lang w:val="en-GB"/>
        </w:rPr>
        <w:t xml:space="preserve">be sold outside of the EU? This was one of the important questions in </w:t>
      </w:r>
      <w:r w:rsidR="0047720F" w:rsidRPr="00514066">
        <w:rPr>
          <w:rFonts w:ascii="Times New Roman" w:hAnsi="Times New Roman" w:cs="Times New Roman"/>
          <w:i/>
          <w:iCs/>
          <w:color w:val="000000" w:themeColor="text1"/>
          <w:lang w:val="en-GB"/>
        </w:rPr>
        <w:t>Hennessy</w:t>
      </w:r>
      <w:r w:rsidRPr="00514066">
        <w:rPr>
          <w:rFonts w:ascii="Times New Roman" w:hAnsi="Times New Roman" w:cs="Times New Roman"/>
          <w:i/>
          <w:iCs/>
          <w:color w:val="000000" w:themeColor="text1"/>
          <w:lang w:val="en-GB"/>
        </w:rPr>
        <w:t xml:space="preserve"> v LB11</w:t>
      </w:r>
      <w:r w:rsidRPr="00514066">
        <w:rPr>
          <w:rFonts w:ascii="Times New Roman" w:hAnsi="Times New Roman" w:cs="Times New Roman"/>
          <w:color w:val="000000" w:themeColor="text1"/>
          <w:lang w:val="en-GB"/>
        </w:rPr>
        <w:t xml:space="preserve">. </w:t>
      </w:r>
    </w:p>
    <w:p w14:paraId="20A6AFC8" w14:textId="3DCA8E2A"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Can the apparent intention of the trademark holder at the time of sale affect the validity of the transaction? The advantage of the latter position for the trademark holder is that it has better means to act substantially/effectively against (illegal) parallel imports. Why does the court in Hennessy not make an exception to the exhaustion rule unlike Mitsub</w:t>
      </w:r>
      <w:r w:rsidR="0047720F">
        <w:rPr>
          <w:rFonts w:ascii="Times New Roman" w:hAnsi="Times New Roman" w:cs="Times New Roman"/>
          <w:color w:val="000000" w:themeColor="text1"/>
          <w:lang w:val="en-GB"/>
        </w:rPr>
        <w:t>i</w:t>
      </w:r>
      <w:r w:rsidRPr="00514066">
        <w:rPr>
          <w:rFonts w:ascii="Times New Roman" w:hAnsi="Times New Roman" w:cs="Times New Roman"/>
          <w:color w:val="000000" w:themeColor="text1"/>
          <w:lang w:val="en-GB"/>
        </w:rPr>
        <w:t>shi?</w:t>
      </w:r>
    </w:p>
    <w:p w14:paraId="6D5CB192" w14:textId="002612EB"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Advocate General G.R.B. van Peursem in He</w:t>
      </w:r>
      <w:r w:rsidR="0047720F">
        <w:rPr>
          <w:rFonts w:ascii="Times New Roman" w:hAnsi="Times New Roman" w:cs="Times New Roman"/>
          <w:color w:val="000000" w:themeColor="text1"/>
          <w:lang w:val="en-GB"/>
        </w:rPr>
        <w:t>n</w:t>
      </w:r>
      <w:r w:rsidRPr="00514066">
        <w:rPr>
          <w:rFonts w:ascii="Times New Roman" w:hAnsi="Times New Roman" w:cs="Times New Roman"/>
          <w:color w:val="000000" w:themeColor="text1"/>
          <w:lang w:val="en-GB"/>
        </w:rPr>
        <w:t>nessy suggests the following question for the CJEU (</w:t>
      </w:r>
      <w:r w:rsidR="007211B7">
        <w:rPr>
          <w:rFonts w:ascii="Times New Roman" w:hAnsi="Times New Roman" w:cs="Times New Roman"/>
          <w:color w:val="000000" w:themeColor="text1"/>
          <w:lang w:val="en-GB"/>
        </w:rPr>
        <w:t>informal</w:t>
      </w:r>
      <w:r w:rsidRPr="00514066">
        <w:rPr>
          <w:rFonts w:ascii="Times New Roman" w:hAnsi="Times New Roman" w:cs="Times New Roman"/>
          <w:color w:val="000000" w:themeColor="text1"/>
          <w:lang w:val="en-GB"/>
        </w:rPr>
        <w:t xml:space="preserve"> translation):</w:t>
      </w:r>
    </w:p>
    <w:p w14:paraId="1815143E" w14:textId="10514BF0" w:rsidR="00514066" w:rsidRPr="00514066" w:rsidRDefault="00514066" w:rsidP="00514066">
      <w:pPr>
        <w:pStyle w:val="Brauwcitaat"/>
        <w:rPr>
          <w:rFonts w:ascii="Times New Roman" w:hAnsi="Times New Roman"/>
          <w:color w:val="000000" w:themeColor="text1"/>
          <w:sz w:val="22"/>
          <w:lang w:val="en-GB"/>
        </w:rPr>
      </w:pPr>
      <w:r w:rsidRPr="00514066">
        <w:rPr>
          <w:rFonts w:ascii="Times New Roman" w:hAnsi="Times New Roman"/>
          <w:sz w:val="22"/>
          <w:lang w:val="en-GB"/>
        </w:rPr>
        <w:t>Is there 'putting on the market' in the EEA in a case involving supply in the EEA under T2</w:t>
      </w:r>
      <w:r w:rsidR="007211B7">
        <w:rPr>
          <w:rFonts w:ascii="Times New Roman" w:hAnsi="Times New Roman"/>
          <w:sz w:val="22"/>
          <w:lang w:val="en-GB"/>
        </w:rPr>
        <w:t xml:space="preserve"> customs status</w:t>
      </w:r>
      <w:r w:rsidRPr="00514066">
        <w:rPr>
          <w:rFonts w:ascii="Times New Roman" w:hAnsi="Times New Roman"/>
          <w:sz w:val="22"/>
          <w:lang w:val="en-GB"/>
        </w:rPr>
        <w:t xml:space="preserve"> to third parties established outside the EEA, even in a case where it must be assumed that the trade mark proprietors negotiated a lower price for the purpose of sale for export outside the EEA than if they had known that the goods would be resold in the EEA market, because they had the opportunity to realise the economic value of their trademarks within the meaning of the Peak Holding judgment? The follow-up question in case of a negative answer could then be what is then the standard for exhaustion in such a case. Is - and if so how - the intent or expectation as to the destination of the selling trademark owner relevant in this regard?</w:t>
      </w:r>
      <w:r w:rsidRPr="00514066">
        <w:rPr>
          <w:rStyle w:val="FootnoteReference"/>
          <w:rFonts w:ascii="Times New Roman" w:hAnsi="Times New Roman"/>
          <w:sz w:val="22"/>
        </w:rPr>
        <w:footnoteReference w:id="34"/>
      </w:r>
    </w:p>
    <w:p w14:paraId="1E6A197F" w14:textId="539E8932"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Martens and Leppink discuss the following in line with van Peursem's points (</w:t>
      </w:r>
      <w:r w:rsidR="007211B7">
        <w:rPr>
          <w:rFonts w:ascii="Times New Roman" w:hAnsi="Times New Roman" w:cs="Times New Roman"/>
          <w:color w:val="000000" w:themeColor="text1"/>
          <w:lang w:val="en-GB"/>
        </w:rPr>
        <w:t>informal</w:t>
      </w:r>
      <w:r w:rsidRPr="00514066">
        <w:rPr>
          <w:rFonts w:ascii="Times New Roman" w:hAnsi="Times New Roman" w:cs="Times New Roman"/>
          <w:color w:val="000000" w:themeColor="text1"/>
          <w:lang w:val="en-GB"/>
        </w:rPr>
        <w:t xml:space="preserve"> translation):</w:t>
      </w:r>
    </w:p>
    <w:p w14:paraId="09FBD405" w14:textId="1FB53CE3" w:rsidR="00514066" w:rsidRPr="00514066" w:rsidRDefault="00514066" w:rsidP="00514066">
      <w:pPr>
        <w:pStyle w:val="Brauwcitaat"/>
        <w:rPr>
          <w:rFonts w:ascii="Times New Roman" w:hAnsi="Times New Roman"/>
          <w:sz w:val="22"/>
          <w:lang w:val="en-GB"/>
        </w:rPr>
      </w:pPr>
      <w:r w:rsidRPr="00514066">
        <w:rPr>
          <w:rFonts w:ascii="Times New Roman" w:hAnsi="Times New Roman"/>
          <w:sz w:val="22"/>
          <w:lang w:val="en-GB"/>
        </w:rPr>
        <w:t xml:space="preserve">The question may be asked why no exception had to be made in Hennessy, mindful of the right to control to which the CJEU gave so much weight in Mitsubishi v Duma. It was the Hennessy's clear and also knowable intention to the buyers to </w:t>
      </w:r>
      <w:r w:rsidR="007211B7">
        <w:rPr>
          <w:rFonts w:ascii="Times New Roman" w:hAnsi="Times New Roman"/>
          <w:sz w:val="22"/>
          <w:lang w:val="en-GB"/>
        </w:rPr>
        <w:t>sell</w:t>
      </w:r>
      <w:r w:rsidRPr="00514066">
        <w:rPr>
          <w:rFonts w:ascii="Times New Roman" w:hAnsi="Times New Roman"/>
          <w:sz w:val="22"/>
          <w:lang w:val="en-GB"/>
        </w:rPr>
        <w:t xml:space="preserve"> the products </w:t>
      </w:r>
      <w:r w:rsidR="007211B7">
        <w:rPr>
          <w:rFonts w:ascii="Times New Roman" w:hAnsi="Times New Roman"/>
          <w:sz w:val="22"/>
          <w:lang w:val="en-GB"/>
        </w:rPr>
        <w:t xml:space="preserve">only </w:t>
      </w:r>
      <w:r w:rsidRPr="00514066">
        <w:rPr>
          <w:rFonts w:ascii="Times New Roman" w:hAnsi="Times New Roman"/>
          <w:sz w:val="22"/>
          <w:lang w:val="en-GB"/>
        </w:rPr>
        <w:t xml:space="preserve">outside the EEA. </w:t>
      </w:r>
      <w:r w:rsidRPr="00514066">
        <w:rPr>
          <w:rFonts w:ascii="Times New Roman" w:hAnsi="Times New Roman"/>
          <w:sz w:val="22"/>
          <w:vertAlign w:val="superscript"/>
          <w:lang w:val="en-GB"/>
        </w:rPr>
        <w:footnoteReference w:id="35"/>
      </w:r>
    </w:p>
    <w:p w14:paraId="5B25171C" w14:textId="2226B038"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As demonstrated by many of the cases discussed in this memo, these nuances are not necessarily </w:t>
      </w:r>
      <w:r w:rsidR="007211B7">
        <w:rPr>
          <w:rFonts w:ascii="Times New Roman" w:hAnsi="Times New Roman" w:cs="Times New Roman"/>
          <w:color w:val="000000" w:themeColor="text1"/>
          <w:lang w:val="en-GB"/>
        </w:rPr>
        <w:t>clear</w:t>
      </w:r>
      <w:r w:rsidRPr="00514066">
        <w:rPr>
          <w:rFonts w:ascii="Times New Roman" w:hAnsi="Times New Roman" w:cs="Times New Roman"/>
          <w:color w:val="000000" w:themeColor="text1"/>
          <w:lang w:val="en-GB"/>
        </w:rPr>
        <w:t xml:space="preserve">. These difficulties are aggravated by the fact that the right to control does not follow from the text of the law, but </w:t>
      </w:r>
      <w:r w:rsidR="007211B7">
        <w:rPr>
          <w:rFonts w:ascii="Times New Roman" w:hAnsi="Times New Roman" w:cs="Times New Roman"/>
          <w:color w:val="000000" w:themeColor="text1"/>
          <w:lang w:val="en-GB"/>
        </w:rPr>
        <w:t xml:space="preserve">only </w:t>
      </w:r>
      <w:r w:rsidRPr="00514066">
        <w:rPr>
          <w:rFonts w:ascii="Times New Roman" w:hAnsi="Times New Roman" w:cs="Times New Roman"/>
          <w:color w:val="000000" w:themeColor="text1"/>
          <w:lang w:val="en-GB"/>
        </w:rPr>
        <w:t xml:space="preserve">indirectly from article 10(2) </w:t>
      </w:r>
      <w:hyperlink r:id="rId9" w:history="1">
        <w:r w:rsidRPr="00514066">
          <w:rPr>
            <w:rStyle w:val="Hyperlink"/>
            <w:rFonts w:ascii="Times New Roman" w:hAnsi="Times New Roman" w:cs="Times New Roman"/>
            <w:lang w:val="en-GB"/>
          </w:rPr>
          <w:t>Directive 2015/2436</w:t>
        </w:r>
      </w:hyperlink>
      <w:r w:rsidRPr="00514066">
        <w:rPr>
          <w:rFonts w:ascii="Times New Roman" w:hAnsi="Times New Roman" w:cs="Times New Roman"/>
          <w:color w:val="000000" w:themeColor="text1"/>
          <w:lang w:val="en-GB"/>
        </w:rPr>
        <w:t xml:space="preserve"> and article 9(2) </w:t>
      </w:r>
      <w:hyperlink r:id="rId10" w:history="1">
        <w:r w:rsidRPr="00514066">
          <w:rPr>
            <w:rStyle w:val="Hyperlink"/>
            <w:rFonts w:ascii="Times New Roman" w:hAnsi="Times New Roman" w:cs="Times New Roman"/>
            <w:lang w:val="en-GB"/>
          </w:rPr>
          <w:t>Regulation 2017/1001</w:t>
        </w:r>
      </w:hyperlink>
      <w:r w:rsidRPr="00514066">
        <w:rPr>
          <w:rFonts w:ascii="Times New Roman" w:hAnsi="Times New Roman" w:cs="Times New Roman"/>
          <w:color w:val="000000" w:themeColor="text1"/>
          <w:lang w:val="en-GB"/>
        </w:rPr>
        <w:t>.</w:t>
      </w:r>
    </w:p>
    <w:p w14:paraId="12D03363" w14:textId="6C0793ED" w:rsidR="00514066" w:rsidRPr="00514066" w:rsidRDefault="00514066" w:rsidP="00514066">
      <w:pPr>
        <w:rPr>
          <w:rFonts w:ascii="Times New Roman" w:hAnsi="Times New Roman" w:cs="Times New Roman"/>
          <w:color w:val="000000" w:themeColor="text1"/>
          <w:lang w:val="en-GB"/>
        </w:rPr>
      </w:pPr>
      <w:r w:rsidRPr="00514066">
        <w:rPr>
          <w:rFonts w:ascii="Times New Roman" w:hAnsi="Times New Roman" w:cs="Times New Roman"/>
          <w:color w:val="000000" w:themeColor="text1"/>
          <w:lang w:val="en-GB"/>
        </w:rPr>
        <w:t xml:space="preserve">Should the right to control of the trademark holder be considered a new ground for infringement? And if so, should this right be codified in EU-law? How could one interpret 'control' in this sense? Would that include the intention of the trademark holder at the time of the transaction? </w:t>
      </w:r>
    </w:p>
    <w:p w14:paraId="5850104A" w14:textId="4D9876ED" w:rsidR="00514066" w:rsidRDefault="00514066" w:rsidP="00514066">
      <w:pPr>
        <w:rPr>
          <w:rFonts w:ascii="Times New Roman" w:hAnsi="Times New Roman" w:cs="Times New Roman"/>
          <w:color w:val="000000" w:themeColor="text1"/>
          <w:lang w:val="en-GB"/>
        </w:rPr>
      </w:pPr>
    </w:p>
    <w:p w14:paraId="128DD0FC" w14:textId="0A449C81" w:rsidR="00514066" w:rsidRPr="00514066" w:rsidRDefault="00EF5EE0" w:rsidP="00AD4BEC">
      <w:pPr>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 xml:space="preserve">The above shows that there are many aspects of and angles to the concept of exhaustion. We would very much enjoy discussing those with the academic participants of the TLI conference 2023. A few have volunteered to speak, those have been included in the draft program below. Some </w:t>
      </w:r>
      <w:r w:rsidR="00AD4BEC">
        <w:rPr>
          <w:rFonts w:ascii="Times New Roman" w:hAnsi="Times New Roman" w:cs="Times New Roman"/>
          <w:color w:val="000000" w:themeColor="text1"/>
          <w:lang w:val="en-GB"/>
        </w:rPr>
        <w:t>we have added as suggestions, and will receive this introduction and draft program.</w:t>
      </w:r>
    </w:p>
    <w:p w14:paraId="65970ED0" w14:textId="77777777" w:rsidR="00514066" w:rsidRPr="004B4226" w:rsidRDefault="00514066" w:rsidP="00514066">
      <w:pPr>
        <w:pStyle w:val="Standaard1"/>
        <w:numPr>
          <w:ilvl w:val="0"/>
          <w:numId w:val="0"/>
        </w:numPr>
        <w:ind w:left="4963"/>
        <w:rPr>
          <w:rFonts w:ascii="Times New Roman" w:hAnsi="Times New Roman"/>
          <w:color w:val="000000" w:themeColor="text1"/>
          <w:sz w:val="22"/>
          <w:lang w:val="en-US"/>
        </w:rPr>
      </w:pPr>
      <w:r w:rsidRPr="004B4226">
        <w:rPr>
          <w:rFonts w:ascii="Times New Roman" w:hAnsi="Times New Roman"/>
          <w:color w:val="000000" w:themeColor="text1"/>
          <w:sz w:val="22"/>
          <w:lang w:val="en-US"/>
        </w:rPr>
        <w:t>*  *  *</w:t>
      </w:r>
    </w:p>
    <w:p w14:paraId="6F203566" w14:textId="2441FFBF" w:rsidR="00C86D9B" w:rsidRPr="004B4226" w:rsidRDefault="00C86D9B">
      <w:pPr>
        <w:rPr>
          <w:rFonts w:ascii="Times New Roman" w:eastAsia="Calibri" w:hAnsi="Times New Roman" w:cs="Times New Roman"/>
          <w:color w:val="000000" w:themeColor="text1"/>
          <w:spacing w:val="3"/>
          <w:kern w:val="0"/>
          <w:lang w:val="en-US"/>
          <w14:ligatures w14:val="none"/>
        </w:rPr>
      </w:pPr>
      <w:r w:rsidRPr="004B4226">
        <w:rPr>
          <w:rFonts w:ascii="Times New Roman" w:hAnsi="Times New Roman"/>
          <w:color w:val="000000" w:themeColor="text1"/>
          <w:lang w:val="en-US"/>
        </w:rPr>
        <w:br w:type="page"/>
      </w:r>
    </w:p>
    <w:p w14:paraId="12FCFDF5" w14:textId="77777777" w:rsidR="00514066" w:rsidRPr="004B4226" w:rsidRDefault="00514066" w:rsidP="00514066">
      <w:pPr>
        <w:pStyle w:val="Standaard1"/>
        <w:numPr>
          <w:ilvl w:val="0"/>
          <w:numId w:val="0"/>
        </w:numPr>
        <w:ind w:left="4963"/>
        <w:rPr>
          <w:rFonts w:ascii="Times New Roman" w:hAnsi="Times New Roman"/>
          <w:color w:val="000000" w:themeColor="text1"/>
          <w:sz w:val="22"/>
          <w:lang w:val="en-US"/>
        </w:rPr>
      </w:pPr>
    </w:p>
    <w:p w14:paraId="5AF6F249" w14:textId="48E0A2ED" w:rsidR="00514066" w:rsidRPr="00514066" w:rsidRDefault="00514066" w:rsidP="00514066">
      <w:pPr>
        <w:pStyle w:val="Standaard1"/>
        <w:numPr>
          <w:ilvl w:val="0"/>
          <w:numId w:val="0"/>
        </w:numPr>
        <w:jc w:val="left"/>
        <w:rPr>
          <w:rFonts w:ascii="Times New Roman" w:hAnsi="Times New Roman"/>
          <w:color w:val="000000" w:themeColor="text1"/>
          <w:sz w:val="22"/>
          <w:lang w:val="en-US"/>
        </w:rPr>
      </w:pPr>
    </w:p>
    <w:p w14:paraId="0AEC4CBF" w14:textId="529CAE73" w:rsidR="00AD4BEC" w:rsidRPr="00AD4BEC" w:rsidRDefault="00AD4BEC" w:rsidP="00AD4BEC">
      <w:pPr>
        <w:pStyle w:val="Heading2"/>
        <w:rPr>
          <w:lang w:val="en-US"/>
        </w:rPr>
      </w:pPr>
      <w:proofErr w:type="spellStart"/>
      <w:r w:rsidRPr="00AD4BEC">
        <w:rPr>
          <w:lang w:val="en-US"/>
        </w:rPr>
        <w:t>Programme</w:t>
      </w:r>
      <w:proofErr w:type="spellEnd"/>
      <w:r w:rsidR="00C86D9B">
        <w:rPr>
          <w:lang w:val="en-US"/>
        </w:rPr>
        <w:t xml:space="preserve"> [DRAFT]</w:t>
      </w:r>
    </w:p>
    <w:p w14:paraId="2648FA41" w14:textId="77777777" w:rsidR="00AD4BEC" w:rsidRDefault="00AD4BEC" w:rsidP="00AD4BEC">
      <w:pPr>
        <w:rPr>
          <w:lang w:val="en-GB"/>
        </w:rPr>
      </w:pPr>
    </w:p>
    <w:p w14:paraId="4671B64E" w14:textId="77777777" w:rsidR="004B4226" w:rsidRDefault="00AD4BEC" w:rsidP="00AD4BEC">
      <w:pPr>
        <w:rPr>
          <w:lang w:val="en-GB"/>
        </w:rPr>
      </w:pPr>
      <w:r>
        <w:rPr>
          <w:lang w:val="en-GB"/>
        </w:rPr>
        <w:t>Venue: Erasmus University Rotterdam Campus</w:t>
      </w:r>
    </w:p>
    <w:p w14:paraId="58B5524C" w14:textId="508ED7B0" w:rsidR="00AD4BEC" w:rsidRDefault="004B4226" w:rsidP="00AD4BEC">
      <w:pPr>
        <w:rPr>
          <w:lang w:val="en-GB"/>
        </w:rPr>
      </w:pPr>
      <w:r>
        <w:rPr>
          <w:lang w:val="en-GB"/>
        </w:rPr>
        <w:t xml:space="preserve">Saturday: </w:t>
      </w:r>
      <w:r w:rsidRPr="004B4226">
        <w:rPr>
          <w:lang w:val="en-US"/>
        </w:rPr>
        <w:t>Sanders 0-07 Moot Court Room</w:t>
      </w:r>
    </w:p>
    <w:p w14:paraId="3F2320C6" w14:textId="06AADE8D" w:rsidR="00AD4BEC" w:rsidRDefault="004B4226" w:rsidP="00AD4BEC">
      <w:pPr>
        <w:rPr>
          <w:lang w:val="en-GB"/>
        </w:rPr>
      </w:pPr>
      <w:r>
        <w:rPr>
          <w:lang w:val="en-GB"/>
        </w:rPr>
        <w:t>Sunday:  Polak 2-04</w:t>
      </w:r>
    </w:p>
    <w:p w14:paraId="41AD2CBD" w14:textId="15A93FC4" w:rsidR="00AD4BEC" w:rsidRDefault="00AD4BEC" w:rsidP="00AD4BEC">
      <w:pPr>
        <w:pStyle w:val="Heading3"/>
        <w:rPr>
          <w:lang w:val="en-GB"/>
        </w:rPr>
      </w:pPr>
      <w:r>
        <w:rPr>
          <w:b w:val="0"/>
          <w:bCs w:val="0"/>
          <w:i/>
          <w:iCs/>
          <w:lang w:val="en-US"/>
        </w:rPr>
        <w:t>Fri</w:t>
      </w:r>
      <w:r w:rsidRPr="00AD4BEC">
        <w:rPr>
          <w:b w:val="0"/>
          <w:bCs w:val="0"/>
          <w:i/>
          <w:iCs/>
          <w:lang w:val="en-US"/>
        </w:rPr>
        <w:t xml:space="preserve">day, </w:t>
      </w:r>
      <w:r>
        <w:rPr>
          <w:b w:val="0"/>
          <w:bCs w:val="0"/>
          <w:i/>
          <w:iCs/>
          <w:lang w:val="en-US"/>
        </w:rPr>
        <w:t>September 15</w:t>
      </w:r>
      <w:r w:rsidRPr="00AD4BEC">
        <w:rPr>
          <w:b w:val="0"/>
          <w:bCs w:val="0"/>
          <w:i/>
          <w:iCs/>
          <w:lang w:val="en-US"/>
        </w:rPr>
        <w:t>, 202</w:t>
      </w:r>
      <w:r>
        <w:rPr>
          <w:b w:val="0"/>
          <w:bCs w:val="0"/>
          <w:i/>
          <w:iCs/>
          <w:lang w:val="en-US"/>
        </w:rPr>
        <w:t>3</w:t>
      </w:r>
    </w:p>
    <w:p w14:paraId="2B9A1C36" w14:textId="77777777" w:rsidR="00AD4BEC" w:rsidRDefault="00AD4BEC" w:rsidP="00AD4BEC">
      <w:pPr>
        <w:rPr>
          <w:lang w:val="en-GB"/>
        </w:rPr>
      </w:pPr>
    </w:p>
    <w:p w14:paraId="7429034D" w14:textId="5DB4BFE6" w:rsidR="00AD4BEC" w:rsidRDefault="00AD4BEC" w:rsidP="00AD4BEC">
      <w:pPr>
        <w:rPr>
          <w:lang w:val="en-GB"/>
        </w:rPr>
      </w:pPr>
      <w:r>
        <w:rPr>
          <w:lang w:val="en-GB"/>
        </w:rPr>
        <w:t>13.30</w:t>
      </w:r>
      <w:r>
        <w:rPr>
          <w:lang w:val="en-GB"/>
        </w:rPr>
        <w:tab/>
        <w:t xml:space="preserve">Registration and coffee </w:t>
      </w:r>
    </w:p>
    <w:p w14:paraId="6470A4D8" w14:textId="77777777" w:rsidR="00AD4BEC" w:rsidRDefault="00AD4BEC" w:rsidP="00AD4BEC">
      <w:pPr>
        <w:rPr>
          <w:lang w:val="en-GB"/>
        </w:rPr>
      </w:pPr>
      <w:r>
        <w:rPr>
          <w:lang w:val="en-GB"/>
        </w:rPr>
        <w:t>14:00</w:t>
      </w:r>
      <w:r>
        <w:rPr>
          <w:lang w:val="en-GB"/>
        </w:rPr>
        <w:tab/>
        <w:t>Welcome and Information on Trademark Law Institute</w:t>
      </w:r>
    </w:p>
    <w:p w14:paraId="5070E6AF" w14:textId="29FB242F" w:rsidR="00AD4BEC" w:rsidRDefault="00AD4BEC" w:rsidP="00AD4BEC">
      <w:pPr>
        <w:ind w:firstLine="708"/>
        <w:rPr>
          <w:i/>
          <w:lang w:val="en-GB"/>
        </w:rPr>
      </w:pPr>
      <w:r>
        <w:rPr>
          <w:i/>
          <w:lang w:val="en-GB"/>
        </w:rPr>
        <w:t>Prof. Tobias Cohen Jehoram, Trademark Law Institute (Rotterdam)</w:t>
      </w:r>
      <w:r w:rsidR="00F0602B">
        <w:rPr>
          <w:i/>
          <w:lang w:val="en-GB"/>
        </w:rPr>
        <w:t xml:space="preserve"> - confirmed</w:t>
      </w:r>
    </w:p>
    <w:p w14:paraId="164E96DA" w14:textId="77777777" w:rsidR="00AD4BEC" w:rsidRDefault="00AD4BEC" w:rsidP="00AD4BEC">
      <w:pPr>
        <w:ind w:firstLine="708"/>
        <w:rPr>
          <w:lang w:val="en-GB"/>
        </w:rPr>
      </w:pPr>
      <w:r>
        <w:rPr>
          <w:lang w:val="en-GB"/>
        </w:rPr>
        <w:t>Aim of the Conference</w:t>
      </w:r>
    </w:p>
    <w:p w14:paraId="5FFDE36A" w14:textId="77777777" w:rsidR="00AD4BEC" w:rsidRDefault="00AD4BEC" w:rsidP="00AD4BEC">
      <w:pPr>
        <w:rPr>
          <w:lang w:val="en-GB"/>
        </w:rPr>
      </w:pPr>
      <w:r>
        <w:rPr>
          <w:lang w:val="en-GB"/>
        </w:rPr>
        <w:tab/>
        <w:t>General Approach</w:t>
      </w:r>
    </w:p>
    <w:p w14:paraId="2A0A3885" w14:textId="77777777" w:rsidR="00AD4BEC" w:rsidRDefault="00AD4BEC" w:rsidP="00AD4BEC">
      <w:pPr>
        <w:rPr>
          <w:lang w:val="en-GB"/>
        </w:rPr>
      </w:pPr>
    </w:p>
    <w:p w14:paraId="65270614" w14:textId="1BB97D84" w:rsidR="00AD4BEC" w:rsidRDefault="00AD4BEC" w:rsidP="00AD4BEC">
      <w:pPr>
        <w:ind w:left="710" w:hanging="710"/>
        <w:rPr>
          <w:lang w:val="en-GB"/>
        </w:rPr>
      </w:pPr>
      <w:r>
        <w:rPr>
          <w:lang w:val="en-GB"/>
        </w:rPr>
        <w:t>14:15</w:t>
      </w:r>
      <w:r>
        <w:rPr>
          <w:lang w:val="en-GB"/>
        </w:rPr>
        <w:tab/>
      </w:r>
      <w:r w:rsidRPr="00A1677C">
        <w:rPr>
          <w:b/>
          <w:bCs/>
          <w:u w:val="single"/>
          <w:lang w:val="en-GB"/>
        </w:rPr>
        <w:t>Part 1</w:t>
      </w:r>
      <w:r w:rsidRPr="00A1677C">
        <w:rPr>
          <w:u w:val="single"/>
          <w:lang w:val="en-GB"/>
        </w:rPr>
        <w:t xml:space="preserve">: </w:t>
      </w:r>
      <w:r w:rsidRPr="00A1677C">
        <w:rPr>
          <w:u w:val="single"/>
          <w:lang w:val="en-GB"/>
        </w:rPr>
        <w:tab/>
      </w:r>
      <w:r w:rsidR="00B85C05" w:rsidRPr="00A1677C">
        <w:rPr>
          <w:b/>
          <w:bCs/>
          <w:u w:val="single"/>
          <w:lang w:val="en-GB"/>
        </w:rPr>
        <w:t>Exhaustion and parallel trade</w:t>
      </w:r>
      <w:r>
        <w:rPr>
          <w:lang w:val="en-GB"/>
        </w:rPr>
        <w:t xml:space="preserve"> </w:t>
      </w:r>
    </w:p>
    <w:p w14:paraId="026A6255" w14:textId="08AB36B3" w:rsidR="00AD4BEC" w:rsidRDefault="00AD4BEC" w:rsidP="00AD4BEC">
      <w:pPr>
        <w:ind w:firstLine="708"/>
        <w:rPr>
          <w:lang w:val="en-GB"/>
        </w:rPr>
      </w:pPr>
      <w:r>
        <w:rPr>
          <w:lang w:val="en-GB"/>
        </w:rPr>
        <w:t xml:space="preserve">Chair: </w:t>
      </w:r>
      <w:r>
        <w:rPr>
          <w:lang w:val="en-GB"/>
        </w:rPr>
        <w:tab/>
      </w:r>
      <w:r>
        <w:rPr>
          <w:i/>
          <w:iCs/>
          <w:lang w:val="en-GB"/>
        </w:rPr>
        <w:t>Prof.</w:t>
      </w:r>
      <w:r w:rsidR="00196AE5">
        <w:rPr>
          <w:i/>
          <w:iCs/>
          <w:lang w:val="en-GB"/>
        </w:rPr>
        <w:t xml:space="preserve"> Dirk Visser,</w:t>
      </w:r>
      <w:r>
        <w:rPr>
          <w:i/>
          <w:iCs/>
          <w:lang w:val="en-GB"/>
        </w:rPr>
        <w:t xml:space="preserve"> Trademark Law Institute (</w:t>
      </w:r>
      <w:r w:rsidR="00196AE5">
        <w:rPr>
          <w:i/>
          <w:iCs/>
          <w:lang w:val="en-GB"/>
        </w:rPr>
        <w:t>Leiden</w:t>
      </w:r>
      <w:r>
        <w:rPr>
          <w:i/>
          <w:iCs/>
          <w:lang w:val="en-GB"/>
        </w:rPr>
        <w:t>)</w:t>
      </w:r>
    </w:p>
    <w:p w14:paraId="4990E2F2" w14:textId="1FBC4CAD" w:rsidR="00AD4BEC" w:rsidRDefault="00AD4BEC" w:rsidP="00C86D9B">
      <w:pPr>
        <w:ind w:left="1410" w:hanging="705"/>
        <w:rPr>
          <w:lang w:val="en-GB"/>
        </w:rPr>
      </w:pPr>
      <w:r>
        <w:rPr>
          <w:lang w:val="en-GB"/>
        </w:rPr>
        <w:t xml:space="preserve">14:15 </w:t>
      </w:r>
      <w:r>
        <w:rPr>
          <w:lang w:val="en-GB"/>
        </w:rPr>
        <w:tab/>
        <w:t xml:space="preserve">Introduction I: </w:t>
      </w:r>
      <w:r w:rsidR="003D19F9">
        <w:rPr>
          <w:lang w:val="en-GB"/>
        </w:rPr>
        <w:t>E</w:t>
      </w:r>
      <w:r w:rsidR="00B85C05">
        <w:rPr>
          <w:lang w:val="en-GB"/>
        </w:rPr>
        <w:t xml:space="preserve">xhaustion and </w:t>
      </w:r>
      <w:r w:rsidR="00C86D9B">
        <w:rPr>
          <w:lang w:val="en-GB"/>
        </w:rPr>
        <w:t xml:space="preserve">luxury goods; </w:t>
      </w:r>
      <w:r w:rsidR="00196AE5">
        <w:rPr>
          <w:lang w:val="en-GB"/>
        </w:rPr>
        <w:t>when</w:t>
      </w:r>
      <w:r w:rsidR="00C86D9B">
        <w:rPr>
          <w:lang w:val="en-GB"/>
        </w:rPr>
        <w:t xml:space="preserve"> the way third party resell can provide legitimate reasons to oppose the resale </w:t>
      </w:r>
    </w:p>
    <w:p w14:paraId="565F3D99" w14:textId="22A7FACA" w:rsidR="00AD4BEC" w:rsidRDefault="00AD4BEC" w:rsidP="00AD4BEC">
      <w:pPr>
        <w:ind w:left="1410"/>
        <w:rPr>
          <w:lang w:val="en-GB"/>
        </w:rPr>
      </w:pPr>
      <w:r>
        <w:rPr>
          <w:i/>
          <w:iCs/>
          <w:lang w:val="en-GB"/>
        </w:rPr>
        <w:t>Prof.</w:t>
      </w:r>
      <w:r w:rsidR="00C86D9B">
        <w:rPr>
          <w:i/>
          <w:iCs/>
          <w:lang w:val="en-GB"/>
        </w:rPr>
        <w:t xml:space="preserve"> Luigi Mansani</w:t>
      </w:r>
      <w:r>
        <w:rPr>
          <w:i/>
          <w:iCs/>
          <w:lang w:val="en-GB"/>
        </w:rPr>
        <w:t xml:space="preserve">, </w:t>
      </w:r>
      <w:r w:rsidR="00C86D9B">
        <w:rPr>
          <w:i/>
          <w:iCs/>
          <w:lang w:val="en-GB"/>
        </w:rPr>
        <w:t>University of Parma</w:t>
      </w:r>
      <w:r w:rsidR="004B4226">
        <w:rPr>
          <w:i/>
          <w:iCs/>
          <w:lang w:val="en-GB"/>
        </w:rPr>
        <w:t xml:space="preserve"> -</w:t>
      </w:r>
      <w:r w:rsidR="00F0602B">
        <w:rPr>
          <w:i/>
          <w:iCs/>
          <w:lang w:val="en-GB"/>
        </w:rPr>
        <w:t xml:space="preserve"> </w:t>
      </w:r>
      <w:r w:rsidR="004B4226">
        <w:rPr>
          <w:i/>
          <w:iCs/>
          <w:lang w:val="en-GB"/>
        </w:rPr>
        <w:t>confirmed</w:t>
      </w:r>
    </w:p>
    <w:p w14:paraId="1ECAEEB3" w14:textId="09F5A923" w:rsidR="00AD4BEC" w:rsidRDefault="00AD4BEC" w:rsidP="00C86D9B">
      <w:pPr>
        <w:ind w:left="1410" w:hanging="702"/>
        <w:rPr>
          <w:lang w:val="en-GB"/>
        </w:rPr>
      </w:pPr>
      <w:r>
        <w:rPr>
          <w:lang w:val="en-GB"/>
        </w:rPr>
        <w:t>14:25</w:t>
      </w:r>
      <w:r>
        <w:rPr>
          <w:lang w:val="en-GB"/>
        </w:rPr>
        <w:tab/>
        <w:t xml:space="preserve">Introduction II: </w:t>
      </w:r>
      <w:r w:rsidR="00C86D9B">
        <w:rPr>
          <w:lang w:val="en-GB"/>
        </w:rPr>
        <w:t>Exhaustion in case of d</w:t>
      </w:r>
      <w:r w:rsidR="003D19F9">
        <w:rPr>
          <w:lang w:val="en-GB"/>
        </w:rPr>
        <w:t xml:space="preserve">ifferent </w:t>
      </w:r>
      <w:r w:rsidR="00C86D9B">
        <w:rPr>
          <w:lang w:val="en-GB"/>
        </w:rPr>
        <w:t>but related entities holding the trademark right, and in case of lack of protection in one jurisdiction</w:t>
      </w:r>
      <w:r w:rsidR="00A1677C">
        <w:rPr>
          <w:lang w:val="en-GB"/>
        </w:rPr>
        <w:t xml:space="preserve"> (</w:t>
      </w:r>
      <w:r w:rsidR="00C86D9B">
        <w:rPr>
          <w:lang w:val="en-GB"/>
        </w:rPr>
        <w:t>also from a US and TRIPs perspective</w:t>
      </w:r>
      <w:r w:rsidR="00A1677C">
        <w:rPr>
          <w:lang w:val="en-GB"/>
        </w:rPr>
        <w:t>)</w:t>
      </w:r>
    </w:p>
    <w:p w14:paraId="6A3413E1" w14:textId="2F1197E1" w:rsidR="00AD4BEC" w:rsidRDefault="00AD4BEC" w:rsidP="00AD4BEC">
      <w:pPr>
        <w:ind w:left="1416" w:hanging="708"/>
        <w:rPr>
          <w:lang w:val="en-GB"/>
        </w:rPr>
      </w:pPr>
      <w:r>
        <w:rPr>
          <w:lang w:val="en-GB"/>
        </w:rPr>
        <w:tab/>
      </w:r>
      <w:r w:rsidR="00C86D9B" w:rsidRPr="00C86D9B">
        <w:rPr>
          <w:i/>
          <w:iCs/>
          <w:lang w:val="en-GB"/>
        </w:rPr>
        <w:t>Prof. Daniel Gervais</w:t>
      </w:r>
      <w:r w:rsidRPr="00C86D9B">
        <w:rPr>
          <w:i/>
          <w:iCs/>
          <w:lang w:val="en-GB"/>
        </w:rPr>
        <w:t>,</w:t>
      </w:r>
      <w:r>
        <w:rPr>
          <w:i/>
          <w:iCs/>
          <w:lang w:val="en-GB"/>
        </w:rPr>
        <w:t xml:space="preserve"> </w:t>
      </w:r>
      <w:r w:rsidR="00C86D9B">
        <w:rPr>
          <w:i/>
          <w:iCs/>
          <w:lang w:val="en-GB"/>
        </w:rPr>
        <w:t>University of Amsterdam</w:t>
      </w:r>
    </w:p>
    <w:p w14:paraId="5E0BFABC" w14:textId="1BCBA9C3" w:rsidR="004A11CB" w:rsidRDefault="00AD4BEC" w:rsidP="00196AE5">
      <w:pPr>
        <w:ind w:left="1413" w:hanging="705"/>
        <w:rPr>
          <w:lang w:val="en-GB"/>
        </w:rPr>
      </w:pPr>
      <w:r>
        <w:rPr>
          <w:lang w:val="en-GB"/>
        </w:rPr>
        <w:t>14:35</w:t>
      </w:r>
      <w:r>
        <w:rPr>
          <w:lang w:val="en-GB"/>
        </w:rPr>
        <w:tab/>
        <w:t>Introduction III:</w:t>
      </w:r>
      <w:r w:rsidR="00B85C05">
        <w:rPr>
          <w:lang w:val="en-GB"/>
        </w:rPr>
        <w:t xml:space="preserve"> </w:t>
      </w:r>
      <w:r w:rsidR="00196AE5">
        <w:rPr>
          <w:lang w:val="en-GB"/>
        </w:rPr>
        <w:t>C</w:t>
      </w:r>
      <w:r w:rsidR="00B85C05">
        <w:rPr>
          <w:lang w:val="en-GB"/>
        </w:rPr>
        <w:t>ontractual structures and obligations to sell outside the EEA</w:t>
      </w:r>
      <w:r w:rsidR="00196AE5">
        <w:rPr>
          <w:lang w:val="en-GB"/>
        </w:rPr>
        <w:t xml:space="preserve"> and relevance of customs status for exhaustion</w:t>
      </w:r>
    </w:p>
    <w:p w14:paraId="6F3C659E" w14:textId="6D209C56" w:rsidR="00196AE5" w:rsidRPr="008C19B9" w:rsidRDefault="00196AE5" w:rsidP="00196AE5">
      <w:pPr>
        <w:ind w:left="1413" w:hanging="705"/>
        <w:rPr>
          <w:i/>
          <w:iCs/>
        </w:rPr>
      </w:pPr>
      <w:r>
        <w:rPr>
          <w:lang w:val="en-GB"/>
        </w:rPr>
        <w:tab/>
      </w:r>
      <w:r w:rsidR="008C19B9" w:rsidRPr="008C19B9">
        <w:rPr>
          <w:i/>
          <w:iCs/>
        </w:rPr>
        <w:t xml:space="preserve">Mr. Gertjan van den Hout, Trademark Law </w:t>
      </w:r>
      <w:proofErr w:type="spellStart"/>
      <w:r w:rsidR="008C19B9" w:rsidRPr="008C19B9">
        <w:rPr>
          <w:i/>
          <w:iCs/>
        </w:rPr>
        <w:t>I</w:t>
      </w:r>
      <w:r w:rsidR="008C19B9">
        <w:rPr>
          <w:i/>
          <w:iCs/>
        </w:rPr>
        <w:t>nstitute</w:t>
      </w:r>
      <w:proofErr w:type="spellEnd"/>
      <w:r w:rsidR="008C19B9" w:rsidRPr="008C19B9">
        <w:rPr>
          <w:i/>
          <w:iCs/>
        </w:rPr>
        <w:t xml:space="preserve"> (Groningen)</w:t>
      </w:r>
      <w:r w:rsidR="00F0602B">
        <w:rPr>
          <w:i/>
          <w:iCs/>
        </w:rPr>
        <w:t xml:space="preserve"> - </w:t>
      </w:r>
      <w:proofErr w:type="spellStart"/>
      <w:r w:rsidR="00F0602B">
        <w:rPr>
          <w:i/>
          <w:iCs/>
        </w:rPr>
        <w:t>confirmed</w:t>
      </w:r>
      <w:proofErr w:type="spellEnd"/>
    </w:p>
    <w:p w14:paraId="0A900827" w14:textId="64CC38CC" w:rsidR="003D19F9" w:rsidRPr="003D19F9" w:rsidRDefault="003D19F9" w:rsidP="00C86D9B">
      <w:pPr>
        <w:ind w:left="1413" w:hanging="705"/>
        <w:rPr>
          <w:lang w:val="en-GB"/>
        </w:rPr>
      </w:pPr>
      <w:r w:rsidRPr="003D19F9">
        <w:rPr>
          <w:lang w:val="en-GB"/>
        </w:rPr>
        <w:t>14:45</w:t>
      </w:r>
      <w:r w:rsidRPr="003D19F9">
        <w:rPr>
          <w:lang w:val="en-GB"/>
        </w:rPr>
        <w:tab/>
        <w:t xml:space="preserve">Introduction IV: Digital exhaustion of trademark rights in the metaverse (Nike v </w:t>
      </w:r>
      <w:proofErr w:type="spellStart"/>
      <w:r w:rsidRPr="003D19F9">
        <w:rPr>
          <w:lang w:val="en-GB"/>
        </w:rPr>
        <w:t>StockX</w:t>
      </w:r>
      <w:proofErr w:type="spellEnd"/>
      <w:r w:rsidRPr="003D19F9">
        <w:rPr>
          <w:lang w:val="en-GB"/>
        </w:rPr>
        <w:t>)</w:t>
      </w:r>
    </w:p>
    <w:p w14:paraId="21137AE1" w14:textId="36F14FFA" w:rsidR="003D19F9" w:rsidRPr="003D19F9" w:rsidRDefault="003D19F9" w:rsidP="003D19F9">
      <w:pPr>
        <w:ind w:firstLine="708"/>
        <w:rPr>
          <w:i/>
          <w:iCs/>
          <w:lang w:val="en-GB"/>
        </w:rPr>
      </w:pPr>
      <w:r>
        <w:rPr>
          <w:i/>
          <w:iCs/>
          <w:lang w:val="en-GB"/>
        </w:rPr>
        <w:tab/>
      </w:r>
      <w:proofErr w:type="spellStart"/>
      <w:r>
        <w:rPr>
          <w:i/>
          <w:iCs/>
          <w:lang w:val="en-GB"/>
        </w:rPr>
        <w:t>Dr.</w:t>
      </w:r>
      <w:proofErr w:type="spellEnd"/>
      <w:r>
        <w:rPr>
          <w:i/>
          <w:iCs/>
          <w:lang w:val="en-GB"/>
        </w:rPr>
        <w:t xml:space="preserve"> César </w:t>
      </w:r>
      <w:proofErr w:type="spellStart"/>
      <w:r>
        <w:rPr>
          <w:i/>
          <w:iCs/>
          <w:lang w:val="en-GB"/>
        </w:rPr>
        <w:t>Rámirez</w:t>
      </w:r>
      <w:proofErr w:type="spellEnd"/>
      <w:r>
        <w:rPr>
          <w:i/>
          <w:iCs/>
          <w:lang w:val="en-GB"/>
        </w:rPr>
        <w:t>-Montes, University of Leeds</w:t>
      </w:r>
    </w:p>
    <w:p w14:paraId="68816921" w14:textId="7D111E80" w:rsidR="00AD4BEC" w:rsidRDefault="00AD4BEC" w:rsidP="00A1677C">
      <w:pPr>
        <w:ind w:firstLine="708"/>
        <w:rPr>
          <w:lang w:val="en-GB"/>
        </w:rPr>
      </w:pPr>
      <w:r>
        <w:rPr>
          <w:lang w:val="en-GB"/>
        </w:rPr>
        <w:t>1</w:t>
      </w:r>
      <w:r w:rsidR="00A1677C">
        <w:rPr>
          <w:lang w:val="en-GB"/>
        </w:rPr>
        <w:t>4</w:t>
      </w:r>
      <w:r>
        <w:rPr>
          <w:lang w:val="en-GB"/>
        </w:rPr>
        <w:t>:</w:t>
      </w:r>
      <w:r w:rsidR="00A1677C">
        <w:rPr>
          <w:lang w:val="en-GB"/>
        </w:rPr>
        <w:t>55</w:t>
      </w:r>
      <w:r>
        <w:rPr>
          <w:lang w:val="en-GB"/>
        </w:rPr>
        <w:t xml:space="preserve"> </w:t>
      </w:r>
      <w:r>
        <w:rPr>
          <w:lang w:val="en-GB"/>
        </w:rPr>
        <w:tab/>
        <w:t>Discussion</w:t>
      </w:r>
    </w:p>
    <w:p w14:paraId="47AB013D" w14:textId="6C0C2CDE" w:rsidR="00AD4BEC" w:rsidRDefault="00AD4BEC" w:rsidP="00AD4BEC">
      <w:pPr>
        <w:rPr>
          <w:lang w:val="en-GB"/>
        </w:rPr>
      </w:pPr>
      <w:r>
        <w:rPr>
          <w:lang w:val="en-GB"/>
        </w:rPr>
        <w:t>1</w:t>
      </w:r>
      <w:r w:rsidR="00A1677C">
        <w:rPr>
          <w:lang w:val="en-GB"/>
        </w:rPr>
        <w:t>6</w:t>
      </w:r>
      <w:r>
        <w:rPr>
          <w:lang w:val="en-GB"/>
        </w:rPr>
        <w:t>:</w:t>
      </w:r>
      <w:r w:rsidR="00A1677C">
        <w:rPr>
          <w:lang w:val="en-GB"/>
        </w:rPr>
        <w:t>00</w:t>
      </w:r>
      <w:r>
        <w:rPr>
          <w:lang w:val="en-GB"/>
        </w:rPr>
        <w:tab/>
        <w:t>Coffee Break</w:t>
      </w:r>
    </w:p>
    <w:p w14:paraId="065B4A5E" w14:textId="77777777" w:rsidR="00AD4BEC" w:rsidRPr="00B85C05" w:rsidRDefault="00AD4BEC" w:rsidP="00AD4BEC">
      <w:pPr>
        <w:rPr>
          <w:rFonts w:cstheme="minorHAnsi"/>
          <w:lang w:val="en-GB"/>
        </w:rPr>
      </w:pPr>
    </w:p>
    <w:p w14:paraId="3EA728C5" w14:textId="5ADACF46" w:rsidR="00485819" w:rsidRPr="00B85C05" w:rsidRDefault="00485819" w:rsidP="00485819">
      <w:pPr>
        <w:ind w:left="710" w:hanging="710"/>
        <w:rPr>
          <w:rFonts w:cstheme="minorHAnsi"/>
          <w:lang w:val="en-GB"/>
        </w:rPr>
      </w:pPr>
      <w:bookmarkStart w:id="12" w:name="_Hlk143702810"/>
      <w:r>
        <w:rPr>
          <w:lang w:val="en-GB"/>
        </w:rPr>
        <w:t>16:30</w:t>
      </w:r>
      <w:r>
        <w:rPr>
          <w:lang w:val="en-GB"/>
        </w:rPr>
        <w:tab/>
      </w:r>
      <w:r w:rsidRPr="00596939">
        <w:rPr>
          <w:b/>
          <w:bCs/>
          <w:u w:val="single"/>
          <w:lang w:val="en-GB"/>
        </w:rPr>
        <w:t xml:space="preserve">Part </w:t>
      </w:r>
      <w:r>
        <w:rPr>
          <w:b/>
          <w:bCs/>
          <w:u w:val="single"/>
          <w:lang w:val="en-GB"/>
        </w:rPr>
        <w:t>2</w:t>
      </w:r>
      <w:r w:rsidRPr="00596939">
        <w:rPr>
          <w:b/>
          <w:bCs/>
          <w:u w:val="single"/>
          <w:lang w:val="en-GB"/>
        </w:rPr>
        <w:t xml:space="preserve">: </w:t>
      </w:r>
      <w:r w:rsidRPr="00596939">
        <w:rPr>
          <w:b/>
          <w:bCs/>
          <w:u w:val="single"/>
          <w:lang w:val="en-GB"/>
        </w:rPr>
        <w:tab/>
        <w:t xml:space="preserve"> </w:t>
      </w:r>
      <w:r w:rsidRPr="00596939">
        <w:rPr>
          <w:rFonts w:cstheme="minorHAnsi"/>
          <w:b/>
          <w:bCs/>
          <w:u w:val="single"/>
          <w:lang w:val="en-US"/>
        </w:rPr>
        <w:t>Sustainable</w:t>
      </w:r>
      <w:r w:rsidRPr="00A1677C">
        <w:rPr>
          <w:rFonts w:cstheme="minorHAnsi"/>
          <w:b/>
          <w:bCs/>
          <w:u w:val="single"/>
          <w:lang w:val="en-US"/>
        </w:rPr>
        <w:t xml:space="preserve"> Reuses of Branded Goods: Infringement or Exhaustion?</w:t>
      </w:r>
    </w:p>
    <w:p w14:paraId="2DD3F412" w14:textId="77777777" w:rsidR="00485819" w:rsidRDefault="00485819" w:rsidP="00485819">
      <w:pPr>
        <w:ind w:firstLine="708"/>
        <w:rPr>
          <w:i/>
          <w:iCs/>
          <w:lang w:val="en-GB"/>
        </w:rPr>
      </w:pPr>
      <w:r>
        <w:rPr>
          <w:lang w:val="en-GB"/>
        </w:rPr>
        <w:t>Chair:</w:t>
      </w:r>
      <w:r>
        <w:rPr>
          <w:lang w:val="en-GB"/>
        </w:rPr>
        <w:tab/>
      </w:r>
      <w:r>
        <w:rPr>
          <w:i/>
          <w:lang w:val="en-GB"/>
        </w:rPr>
        <w:t>Prof. Charlotte Vrendenbarg, Trademark Law Institute (Nijmegen) - confirmed</w:t>
      </w:r>
    </w:p>
    <w:p w14:paraId="37472810" w14:textId="6921BEBA" w:rsidR="00485819" w:rsidRDefault="00485819" w:rsidP="00485819">
      <w:pPr>
        <w:ind w:firstLine="708"/>
        <w:rPr>
          <w:lang w:val="en-GB"/>
        </w:rPr>
      </w:pPr>
      <w:r>
        <w:rPr>
          <w:lang w:val="en-GB"/>
        </w:rPr>
        <w:t>16:30</w:t>
      </w:r>
      <w:r>
        <w:rPr>
          <w:lang w:val="en-GB"/>
        </w:rPr>
        <w:tab/>
        <w:t>Introduction I: Upcycling and exhaustion issues</w:t>
      </w:r>
    </w:p>
    <w:p w14:paraId="3FD8B944" w14:textId="77777777" w:rsidR="00485819" w:rsidRDefault="00485819" w:rsidP="00485819">
      <w:pPr>
        <w:ind w:left="1410" w:hanging="702"/>
        <w:rPr>
          <w:lang w:val="en-GB"/>
        </w:rPr>
      </w:pPr>
      <w:r>
        <w:rPr>
          <w:lang w:val="en-GB"/>
        </w:rPr>
        <w:tab/>
      </w:r>
      <w:bookmarkStart w:id="13" w:name="_Hlk143100288"/>
      <w:r w:rsidRPr="00794DAC">
        <w:rPr>
          <w:lang w:val="en-US"/>
        </w:rPr>
        <w:t>Prof.</w:t>
      </w:r>
      <w:r>
        <w:rPr>
          <w:lang w:val="en-US"/>
        </w:rPr>
        <w:t xml:space="preserve"> Dirk Visser</w:t>
      </w:r>
      <w:r w:rsidRPr="00794DAC">
        <w:rPr>
          <w:lang w:val="en-US"/>
        </w:rPr>
        <w:t xml:space="preserve">, </w:t>
      </w:r>
      <w:r w:rsidRPr="00794DAC">
        <w:rPr>
          <w:i/>
          <w:iCs/>
          <w:lang w:val="en-US"/>
        </w:rPr>
        <w:t>Trademark Law Institute (</w:t>
      </w:r>
      <w:r>
        <w:rPr>
          <w:i/>
          <w:iCs/>
          <w:lang w:val="en-US"/>
        </w:rPr>
        <w:t>Leiden</w:t>
      </w:r>
      <w:r w:rsidRPr="00794DAC">
        <w:rPr>
          <w:i/>
          <w:iCs/>
          <w:lang w:val="en-US"/>
        </w:rPr>
        <w:t>)</w:t>
      </w:r>
      <w:r w:rsidRPr="00032AED">
        <w:rPr>
          <w:lang w:val="en-GB"/>
        </w:rPr>
        <w:t xml:space="preserve"> </w:t>
      </w:r>
    </w:p>
    <w:p w14:paraId="78483C2B" w14:textId="4419DA66" w:rsidR="00485819" w:rsidRDefault="00485819" w:rsidP="00485819">
      <w:pPr>
        <w:ind w:left="1410" w:hanging="702"/>
        <w:rPr>
          <w:lang w:val="en-GB"/>
        </w:rPr>
      </w:pPr>
      <w:r>
        <w:rPr>
          <w:lang w:val="en-GB"/>
        </w:rPr>
        <w:t xml:space="preserve">16:40 </w:t>
      </w:r>
      <w:r>
        <w:rPr>
          <w:lang w:val="en-GB"/>
        </w:rPr>
        <w:tab/>
        <w:t>Introduction II: Upcycling &amp; legitimate reasons; a new approach to traditional trademark doctrines?</w:t>
      </w:r>
    </w:p>
    <w:p w14:paraId="06392EFE" w14:textId="77777777" w:rsidR="00485819" w:rsidRPr="00794DAC" w:rsidRDefault="00485819" w:rsidP="00485819">
      <w:pPr>
        <w:ind w:left="702" w:firstLine="708"/>
        <w:rPr>
          <w:i/>
          <w:iCs/>
          <w:lang w:val="en-US"/>
        </w:rPr>
      </w:pPr>
      <w:r w:rsidRPr="00794DAC">
        <w:rPr>
          <w:lang w:val="en-US"/>
        </w:rPr>
        <w:t xml:space="preserve">Prof. </w:t>
      </w:r>
      <w:r>
        <w:rPr>
          <w:lang w:val="en-US"/>
        </w:rPr>
        <w:t xml:space="preserve">Irene </w:t>
      </w:r>
      <w:proofErr w:type="spellStart"/>
      <w:r>
        <w:rPr>
          <w:lang w:val="en-US"/>
        </w:rPr>
        <w:t>Calboli</w:t>
      </w:r>
      <w:proofErr w:type="spellEnd"/>
      <w:r>
        <w:rPr>
          <w:lang w:val="en-US"/>
        </w:rPr>
        <w:t xml:space="preserve"> (online)</w:t>
      </w:r>
      <w:r w:rsidRPr="00794DAC">
        <w:rPr>
          <w:lang w:val="en-US"/>
        </w:rPr>
        <w:t xml:space="preserve">, </w:t>
      </w:r>
      <w:r w:rsidRPr="00794DAC">
        <w:rPr>
          <w:i/>
          <w:iCs/>
          <w:lang w:val="en-US"/>
        </w:rPr>
        <w:t>T</w:t>
      </w:r>
      <w:r>
        <w:rPr>
          <w:i/>
          <w:iCs/>
          <w:lang w:val="en-US"/>
        </w:rPr>
        <w:t>exas A&amp;M University, Singapore</w:t>
      </w:r>
    </w:p>
    <w:bookmarkEnd w:id="13"/>
    <w:p w14:paraId="5ACC7301" w14:textId="78A99FC1" w:rsidR="00485819" w:rsidRDefault="00485819" w:rsidP="00485819">
      <w:pPr>
        <w:ind w:left="1410" w:hanging="702"/>
        <w:rPr>
          <w:lang w:val="en-GB"/>
        </w:rPr>
      </w:pPr>
      <w:r>
        <w:rPr>
          <w:lang w:val="en-GB"/>
        </w:rPr>
        <w:t xml:space="preserve">16:50 </w:t>
      </w:r>
      <w:r>
        <w:rPr>
          <w:lang w:val="en-GB"/>
        </w:rPr>
        <w:tab/>
        <w:t>Introduction III: A freedom of the arts approach to fashion upcycling &amp; use of branded goods in art</w:t>
      </w:r>
    </w:p>
    <w:p w14:paraId="7064D80F" w14:textId="77777777" w:rsidR="00485819" w:rsidRPr="00794DAC" w:rsidRDefault="00485819" w:rsidP="00485819">
      <w:pPr>
        <w:ind w:left="702" w:firstLine="708"/>
        <w:rPr>
          <w:i/>
          <w:iCs/>
          <w:lang w:val="en-US"/>
        </w:rPr>
      </w:pPr>
      <w:r w:rsidRPr="008C19B9">
        <w:rPr>
          <w:i/>
          <w:iCs/>
          <w:lang w:val="en-US"/>
        </w:rPr>
        <w:t>Prof. Martin Senftleben, Trademark</w:t>
      </w:r>
      <w:r w:rsidRPr="00794DAC">
        <w:rPr>
          <w:i/>
          <w:iCs/>
          <w:lang w:val="en-US"/>
        </w:rPr>
        <w:t xml:space="preserve"> Law Institute (Amsterdam)</w:t>
      </w:r>
      <w:r>
        <w:rPr>
          <w:i/>
          <w:iCs/>
          <w:lang w:val="en-US"/>
        </w:rPr>
        <w:t xml:space="preserve"> - confirmed</w:t>
      </w:r>
    </w:p>
    <w:p w14:paraId="67C1AA76" w14:textId="651D7071" w:rsidR="00485819" w:rsidRDefault="00485819" w:rsidP="00485819">
      <w:pPr>
        <w:ind w:firstLine="708"/>
        <w:rPr>
          <w:lang w:val="it-IT"/>
        </w:rPr>
      </w:pPr>
      <w:r>
        <w:rPr>
          <w:lang w:val="it-IT"/>
        </w:rPr>
        <w:t xml:space="preserve">17:00 </w:t>
      </w:r>
      <w:r>
        <w:rPr>
          <w:lang w:val="it-IT"/>
        </w:rPr>
        <w:tab/>
      </w:r>
      <w:proofErr w:type="spellStart"/>
      <w:r>
        <w:rPr>
          <w:lang w:val="it-IT"/>
        </w:rPr>
        <w:t>Discussion</w:t>
      </w:r>
      <w:proofErr w:type="spellEnd"/>
    </w:p>
    <w:bookmarkEnd w:id="12"/>
    <w:p w14:paraId="46312FFD" w14:textId="11C545C3" w:rsidR="00AD4BEC" w:rsidRDefault="00AD4BEC" w:rsidP="00AD4BEC">
      <w:pPr>
        <w:rPr>
          <w:lang w:val="en-GB"/>
        </w:rPr>
      </w:pPr>
      <w:r>
        <w:rPr>
          <w:lang w:val="en-GB"/>
        </w:rPr>
        <w:t>18:00</w:t>
      </w:r>
      <w:r>
        <w:rPr>
          <w:lang w:val="en-GB"/>
        </w:rPr>
        <w:tab/>
        <w:t>Closing</w:t>
      </w:r>
    </w:p>
    <w:p w14:paraId="3E66CDFB" w14:textId="055E756C" w:rsidR="0091077C" w:rsidRDefault="00AD4BEC" w:rsidP="00AD4BEC">
      <w:pPr>
        <w:rPr>
          <w:lang w:val="en-GB"/>
        </w:rPr>
      </w:pPr>
      <w:r>
        <w:rPr>
          <w:lang w:val="en-GB"/>
        </w:rPr>
        <w:t xml:space="preserve"> 1</w:t>
      </w:r>
      <w:r w:rsidR="0091077C">
        <w:rPr>
          <w:lang w:val="en-GB"/>
        </w:rPr>
        <w:t>8:45</w:t>
      </w:r>
      <w:r>
        <w:rPr>
          <w:lang w:val="en-GB"/>
        </w:rPr>
        <w:tab/>
      </w:r>
      <w:r w:rsidR="0091077C">
        <w:rPr>
          <w:lang w:val="en-GB"/>
        </w:rPr>
        <w:t>Travel by water taxi to</w:t>
      </w:r>
      <w:r w:rsidR="00485819">
        <w:rPr>
          <w:lang w:val="en-GB"/>
        </w:rPr>
        <w:t xml:space="preserve"> the</w:t>
      </w:r>
      <w:r w:rsidR="0091077C">
        <w:rPr>
          <w:lang w:val="en-GB"/>
        </w:rPr>
        <w:t xml:space="preserve"> restaurant</w:t>
      </w:r>
    </w:p>
    <w:p w14:paraId="053EBA02" w14:textId="1186BE41" w:rsidR="00AD4BEC" w:rsidRDefault="0091077C" w:rsidP="00AD4BEC">
      <w:pPr>
        <w:rPr>
          <w:lang w:val="en-GB"/>
        </w:rPr>
      </w:pPr>
      <w:r>
        <w:rPr>
          <w:lang w:val="en-GB"/>
        </w:rPr>
        <w:t>19:00</w:t>
      </w:r>
      <w:r>
        <w:rPr>
          <w:lang w:val="en-GB"/>
        </w:rPr>
        <w:tab/>
      </w:r>
      <w:r w:rsidR="00AD4BEC">
        <w:rPr>
          <w:lang w:val="en-GB"/>
        </w:rPr>
        <w:t xml:space="preserve">Conference Dinner </w:t>
      </w:r>
      <w:r>
        <w:rPr>
          <w:lang w:val="en-GB"/>
        </w:rPr>
        <w:t xml:space="preserve">at </w:t>
      </w:r>
      <w:proofErr w:type="spellStart"/>
      <w:r>
        <w:rPr>
          <w:lang w:val="en-GB"/>
        </w:rPr>
        <w:t>Zalmhuis</w:t>
      </w:r>
      <w:proofErr w:type="spellEnd"/>
      <w:r>
        <w:rPr>
          <w:lang w:val="en-GB"/>
        </w:rPr>
        <w:t xml:space="preserve"> Restaurant on the Maas river</w:t>
      </w:r>
    </w:p>
    <w:p w14:paraId="52729A72" w14:textId="77777777" w:rsidR="00AD4BEC" w:rsidRDefault="00AD4BEC" w:rsidP="00AD4BEC">
      <w:pPr>
        <w:pStyle w:val="Heading3"/>
        <w:rPr>
          <w:lang w:val="en-GB"/>
        </w:rPr>
      </w:pPr>
    </w:p>
    <w:p w14:paraId="22C73BAD" w14:textId="6376643C" w:rsidR="00AD4BEC" w:rsidRDefault="00AD4BEC" w:rsidP="00AD4BEC">
      <w:pPr>
        <w:pStyle w:val="Heading3"/>
        <w:rPr>
          <w:lang w:val="en-GB"/>
        </w:rPr>
      </w:pPr>
      <w:r>
        <w:rPr>
          <w:b w:val="0"/>
          <w:bCs w:val="0"/>
          <w:i/>
          <w:iCs/>
          <w:lang w:val="en-US"/>
        </w:rPr>
        <w:t>Saturday</w:t>
      </w:r>
      <w:r w:rsidRPr="00AD4BEC">
        <w:rPr>
          <w:b w:val="0"/>
          <w:bCs w:val="0"/>
          <w:i/>
          <w:iCs/>
          <w:lang w:val="en-US"/>
        </w:rPr>
        <w:t xml:space="preserve">, </w:t>
      </w:r>
      <w:r>
        <w:rPr>
          <w:b w:val="0"/>
          <w:bCs w:val="0"/>
          <w:i/>
          <w:iCs/>
          <w:lang w:val="en-US"/>
        </w:rPr>
        <w:t>September 16</w:t>
      </w:r>
      <w:r w:rsidRPr="00AD4BEC">
        <w:rPr>
          <w:b w:val="0"/>
          <w:bCs w:val="0"/>
          <w:i/>
          <w:iCs/>
          <w:lang w:val="en-US"/>
        </w:rPr>
        <w:t>, 202</w:t>
      </w:r>
      <w:r>
        <w:rPr>
          <w:b w:val="0"/>
          <w:bCs w:val="0"/>
          <w:i/>
          <w:iCs/>
          <w:lang w:val="en-US"/>
        </w:rPr>
        <w:t>3</w:t>
      </w:r>
    </w:p>
    <w:p w14:paraId="50492CEB" w14:textId="77777777" w:rsidR="00AD4BEC" w:rsidRDefault="00AD4BEC" w:rsidP="00AD4BEC">
      <w:pPr>
        <w:rPr>
          <w:lang w:val="en-GB"/>
        </w:rPr>
      </w:pPr>
    </w:p>
    <w:p w14:paraId="50BF7E1A" w14:textId="4ED585D7" w:rsidR="0091077C" w:rsidRPr="00B85C05" w:rsidRDefault="0091077C" w:rsidP="0091077C">
      <w:pPr>
        <w:ind w:left="710" w:hanging="710"/>
        <w:rPr>
          <w:rFonts w:cstheme="minorHAnsi"/>
          <w:lang w:val="en-GB"/>
        </w:rPr>
      </w:pPr>
      <w:r w:rsidRPr="00B85C05">
        <w:rPr>
          <w:rFonts w:cstheme="minorHAnsi"/>
          <w:lang w:val="en-GB"/>
        </w:rPr>
        <w:t>1</w:t>
      </w:r>
      <w:r>
        <w:rPr>
          <w:rFonts w:cstheme="minorHAnsi"/>
          <w:lang w:val="en-GB"/>
        </w:rPr>
        <w:t>0</w:t>
      </w:r>
      <w:r w:rsidRPr="00B85C05">
        <w:rPr>
          <w:rFonts w:cstheme="minorHAnsi"/>
          <w:lang w:val="en-GB"/>
        </w:rPr>
        <w:t>:</w:t>
      </w:r>
      <w:r>
        <w:rPr>
          <w:rFonts w:cstheme="minorHAnsi"/>
          <w:lang w:val="en-GB"/>
        </w:rPr>
        <w:t>00</w:t>
      </w:r>
      <w:r w:rsidRPr="00B85C05">
        <w:rPr>
          <w:rFonts w:cstheme="minorHAnsi"/>
          <w:lang w:val="en-GB"/>
        </w:rPr>
        <w:tab/>
      </w:r>
      <w:r w:rsidRPr="00A1677C">
        <w:rPr>
          <w:rFonts w:cstheme="minorHAnsi"/>
          <w:b/>
          <w:bCs/>
          <w:u w:val="single"/>
          <w:lang w:val="en-GB"/>
        </w:rPr>
        <w:t>Part</w:t>
      </w:r>
      <w:r w:rsidR="00485819">
        <w:rPr>
          <w:rFonts w:cstheme="minorHAnsi"/>
          <w:b/>
          <w:bCs/>
          <w:u w:val="single"/>
          <w:lang w:val="en-GB"/>
        </w:rPr>
        <w:t xml:space="preserve"> 3</w:t>
      </w:r>
      <w:r w:rsidRPr="00A1677C">
        <w:rPr>
          <w:rFonts w:cstheme="minorHAnsi"/>
          <w:b/>
          <w:bCs/>
          <w:u w:val="single"/>
          <w:lang w:val="en-GB"/>
        </w:rPr>
        <w:t xml:space="preserve">: </w:t>
      </w:r>
      <w:r w:rsidRPr="00A1677C">
        <w:rPr>
          <w:rFonts w:cstheme="minorHAnsi"/>
          <w:b/>
          <w:bCs/>
          <w:u w:val="single"/>
          <w:lang w:val="en-GB"/>
        </w:rPr>
        <w:tab/>
        <w:t xml:space="preserve"> Reuse of Branded Goods</w:t>
      </w:r>
      <w:r>
        <w:rPr>
          <w:rFonts w:cstheme="minorHAnsi"/>
          <w:b/>
          <w:bCs/>
          <w:lang w:val="en-GB"/>
        </w:rPr>
        <w:t xml:space="preserve"> </w:t>
      </w:r>
    </w:p>
    <w:p w14:paraId="5D558DF9" w14:textId="77777777" w:rsidR="0091077C" w:rsidRDefault="0091077C" w:rsidP="0091077C">
      <w:pPr>
        <w:rPr>
          <w:lang w:val="en-GB"/>
        </w:rPr>
      </w:pPr>
      <w:r w:rsidRPr="00B85C05">
        <w:rPr>
          <w:rFonts w:cstheme="minorHAnsi"/>
          <w:lang w:val="en-GB"/>
        </w:rPr>
        <w:tab/>
      </w:r>
      <w:r>
        <w:rPr>
          <w:lang w:val="en-GB"/>
        </w:rPr>
        <w:t xml:space="preserve">Chair: </w:t>
      </w:r>
      <w:r>
        <w:rPr>
          <w:lang w:val="en-GB"/>
        </w:rPr>
        <w:tab/>
      </w:r>
      <w:r w:rsidRPr="00A1677C">
        <w:rPr>
          <w:i/>
          <w:iCs/>
          <w:lang w:val="en-GB"/>
        </w:rPr>
        <w:t>Prof.  Anselm Kamperman Sanders</w:t>
      </w:r>
      <w:r>
        <w:rPr>
          <w:i/>
          <w:iCs/>
          <w:lang w:val="en-GB"/>
        </w:rPr>
        <w:t>, Trademark Law Institute (Maastricht University)</w:t>
      </w:r>
    </w:p>
    <w:p w14:paraId="36348431" w14:textId="38E4B36F" w:rsidR="0091077C" w:rsidRDefault="0091077C" w:rsidP="0091077C">
      <w:pPr>
        <w:ind w:left="1416" w:hanging="706"/>
        <w:rPr>
          <w:lang w:val="en-GB"/>
        </w:rPr>
      </w:pPr>
      <w:r>
        <w:rPr>
          <w:lang w:val="en-GB"/>
        </w:rPr>
        <w:t>1</w:t>
      </w:r>
      <w:r w:rsidR="00485819">
        <w:rPr>
          <w:lang w:val="en-GB"/>
        </w:rPr>
        <w:t>0</w:t>
      </w:r>
      <w:r>
        <w:rPr>
          <w:lang w:val="en-GB"/>
        </w:rPr>
        <w:t>:</w:t>
      </w:r>
      <w:r w:rsidR="00485819">
        <w:rPr>
          <w:lang w:val="en-GB"/>
        </w:rPr>
        <w:t>0</w:t>
      </w:r>
      <w:r>
        <w:rPr>
          <w:lang w:val="en-GB"/>
        </w:rPr>
        <w:t xml:space="preserve">0 </w:t>
      </w:r>
      <w:r>
        <w:rPr>
          <w:lang w:val="en-GB"/>
        </w:rPr>
        <w:tab/>
        <w:t>Introduction I: Refilling and exhaustion</w:t>
      </w:r>
    </w:p>
    <w:p w14:paraId="17C01383" w14:textId="77777777" w:rsidR="0091077C" w:rsidRPr="0091077C" w:rsidRDefault="0091077C" w:rsidP="0091077C">
      <w:pPr>
        <w:rPr>
          <w:lang w:val="en-US"/>
        </w:rPr>
      </w:pPr>
      <w:r>
        <w:rPr>
          <w:lang w:val="en-GB"/>
        </w:rPr>
        <w:tab/>
      </w:r>
      <w:r>
        <w:rPr>
          <w:lang w:val="en-GB"/>
        </w:rPr>
        <w:tab/>
      </w:r>
      <w:r w:rsidRPr="0091077C">
        <w:rPr>
          <w:highlight w:val="yellow"/>
          <w:lang w:val="en-GB"/>
        </w:rPr>
        <w:t>[to be announced]</w:t>
      </w:r>
    </w:p>
    <w:p w14:paraId="3EB9358C" w14:textId="096E8321" w:rsidR="0091077C" w:rsidRDefault="0091077C" w:rsidP="0091077C">
      <w:pPr>
        <w:ind w:left="1416" w:hanging="706"/>
        <w:rPr>
          <w:lang w:val="en-GB"/>
        </w:rPr>
      </w:pPr>
      <w:r>
        <w:rPr>
          <w:lang w:val="en-GB"/>
        </w:rPr>
        <w:t>1</w:t>
      </w:r>
      <w:r w:rsidR="00485819">
        <w:rPr>
          <w:lang w:val="en-GB"/>
        </w:rPr>
        <w:t>0</w:t>
      </w:r>
      <w:r>
        <w:rPr>
          <w:lang w:val="en-GB"/>
        </w:rPr>
        <w:t>:</w:t>
      </w:r>
      <w:r w:rsidR="00485819">
        <w:rPr>
          <w:lang w:val="en-GB"/>
        </w:rPr>
        <w:t>1</w:t>
      </w:r>
      <w:r>
        <w:rPr>
          <w:lang w:val="en-GB"/>
        </w:rPr>
        <w:t xml:space="preserve">0 </w:t>
      </w:r>
      <w:r>
        <w:rPr>
          <w:lang w:val="en-GB"/>
        </w:rPr>
        <w:tab/>
        <w:t>Introduction II: Repair &amp; refurbishment and exhaustion, use of third party replacement parts</w:t>
      </w:r>
    </w:p>
    <w:p w14:paraId="62481519" w14:textId="77777777" w:rsidR="0091077C" w:rsidRPr="0091077C" w:rsidRDefault="0091077C" w:rsidP="0091077C">
      <w:pPr>
        <w:rPr>
          <w:lang w:val="en-US"/>
        </w:rPr>
      </w:pPr>
      <w:r>
        <w:rPr>
          <w:lang w:val="en-GB"/>
        </w:rPr>
        <w:tab/>
      </w:r>
      <w:r>
        <w:rPr>
          <w:lang w:val="en-GB"/>
        </w:rPr>
        <w:tab/>
      </w:r>
      <w:r w:rsidRPr="0091077C">
        <w:rPr>
          <w:highlight w:val="yellow"/>
          <w:lang w:val="en-GB"/>
        </w:rPr>
        <w:t>[To be announced]</w:t>
      </w:r>
      <w:r w:rsidRPr="0091077C">
        <w:rPr>
          <w:lang w:val="en-US"/>
        </w:rPr>
        <w:tab/>
      </w:r>
    </w:p>
    <w:p w14:paraId="025E46BD" w14:textId="19DC90EF" w:rsidR="0091077C" w:rsidRDefault="0091077C" w:rsidP="0091077C">
      <w:pPr>
        <w:ind w:firstLine="708"/>
        <w:rPr>
          <w:lang w:val="en-GB"/>
        </w:rPr>
      </w:pPr>
      <w:r>
        <w:rPr>
          <w:lang w:val="en-GB"/>
        </w:rPr>
        <w:t>1</w:t>
      </w:r>
      <w:r w:rsidR="00485819">
        <w:rPr>
          <w:lang w:val="en-GB"/>
        </w:rPr>
        <w:t>0</w:t>
      </w:r>
      <w:r>
        <w:rPr>
          <w:lang w:val="en-GB"/>
        </w:rPr>
        <w:t>.</w:t>
      </w:r>
      <w:r w:rsidR="00485819">
        <w:rPr>
          <w:lang w:val="en-GB"/>
        </w:rPr>
        <w:t>2</w:t>
      </w:r>
      <w:r>
        <w:rPr>
          <w:lang w:val="en-GB"/>
        </w:rPr>
        <w:t>0</w:t>
      </w:r>
      <w:r>
        <w:rPr>
          <w:lang w:val="en-GB"/>
        </w:rPr>
        <w:tab/>
        <w:t>Discussion</w:t>
      </w:r>
    </w:p>
    <w:p w14:paraId="69DE7C92" w14:textId="42E1AA40" w:rsidR="00AD4BEC" w:rsidRDefault="00AD4BEC" w:rsidP="00AD4BEC">
      <w:pPr>
        <w:rPr>
          <w:lang w:val="en-GB"/>
        </w:rPr>
      </w:pPr>
      <w:r>
        <w:rPr>
          <w:lang w:val="en-GB"/>
        </w:rPr>
        <w:t>11:</w:t>
      </w:r>
      <w:r w:rsidR="00485819">
        <w:rPr>
          <w:lang w:val="en-GB"/>
        </w:rPr>
        <w:t>2</w:t>
      </w:r>
      <w:r>
        <w:rPr>
          <w:lang w:val="en-GB"/>
        </w:rPr>
        <w:t>0</w:t>
      </w:r>
      <w:r>
        <w:rPr>
          <w:lang w:val="en-GB"/>
        </w:rPr>
        <w:tab/>
        <w:t>Coffee Break</w:t>
      </w:r>
    </w:p>
    <w:p w14:paraId="175DD6FE" w14:textId="77777777" w:rsidR="00AD4BEC" w:rsidRDefault="00AD4BEC" w:rsidP="00AD4BEC">
      <w:pPr>
        <w:rPr>
          <w:lang w:val="en-GB"/>
        </w:rPr>
      </w:pPr>
    </w:p>
    <w:p w14:paraId="060D7B9C" w14:textId="6BB7A04D" w:rsidR="00AD4BEC" w:rsidRDefault="00AD4BEC" w:rsidP="00AD4BEC">
      <w:pPr>
        <w:ind w:left="708" w:hanging="708"/>
        <w:rPr>
          <w:lang w:val="en-GB"/>
        </w:rPr>
      </w:pPr>
      <w:r>
        <w:rPr>
          <w:lang w:val="en-GB"/>
        </w:rPr>
        <w:t>11:</w:t>
      </w:r>
      <w:r w:rsidR="00485819">
        <w:rPr>
          <w:lang w:val="en-GB"/>
        </w:rPr>
        <w:t>35</w:t>
      </w:r>
      <w:r>
        <w:rPr>
          <w:lang w:val="en-GB"/>
        </w:rPr>
        <w:t xml:space="preserve"> </w:t>
      </w:r>
      <w:r>
        <w:rPr>
          <w:lang w:val="en-GB"/>
        </w:rPr>
        <w:tab/>
      </w:r>
      <w:r w:rsidRPr="00596939">
        <w:rPr>
          <w:b/>
          <w:bCs/>
          <w:u w:val="single"/>
          <w:lang w:val="en-GB"/>
        </w:rPr>
        <w:t xml:space="preserve">Part 4: </w:t>
      </w:r>
      <w:r w:rsidR="00B85C05" w:rsidRPr="00596939">
        <w:rPr>
          <w:b/>
          <w:bCs/>
          <w:u w:val="single"/>
          <w:lang w:val="en-GB"/>
        </w:rPr>
        <w:t>Debranding and the right to control first sale in the EEA</w:t>
      </w:r>
    </w:p>
    <w:p w14:paraId="4AEC4197" w14:textId="26D8F7B4" w:rsidR="00AD4BEC" w:rsidRDefault="00AD4BEC" w:rsidP="00AD4BEC">
      <w:pPr>
        <w:ind w:firstLine="708"/>
        <w:rPr>
          <w:i/>
          <w:iCs/>
          <w:lang w:val="en-GB"/>
        </w:rPr>
      </w:pPr>
      <w:r>
        <w:rPr>
          <w:lang w:val="en-GB"/>
        </w:rPr>
        <w:t>Chair:</w:t>
      </w:r>
      <w:r>
        <w:rPr>
          <w:lang w:val="en-GB"/>
        </w:rPr>
        <w:tab/>
      </w:r>
      <w:r>
        <w:rPr>
          <w:i/>
          <w:lang w:val="en-GB"/>
        </w:rPr>
        <w:t>Prof.</w:t>
      </w:r>
      <w:r w:rsidR="0047720F">
        <w:rPr>
          <w:i/>
          <w:lang w:val="en-GB"/>
        </w:rPr>
        <w:t xml:space="preserve"> Tobias Cohen Jehoram</w:t>
      </w:r>
      <w:r>
        <w:rPr>
          <w:i/>
          <w:lang w:val="en-GB"/>
        </w:rPr>
        <w:t>, Trademark Law Institute (</w:t>
      </w:r>
      <w:r w:rsidR="0047720F">
        <w:rPr>
          <w:i/>
          <w:lang w:val="en-GB"/>
        </w:rPr>
        <w:t>Rotterdam</w:t>
      </w:r>
      <w:r>
        <w:rPr>
          <w:i/>
          <w:lang w:val="en-GB"/>
        </w:rPr>
        <w:t>)</w:t>
      </w:r>
      <w:r w:rsidR="00736961">
        <w:rPr>
          <w:i/>
          <w:lang w:val="en-GB"/>
        </w:rPr>
        <w:t xml:space="preserve"> - confirmed</w:t>
      </w:r>
    </w:p>
    <w:p w14:paraId="649D13B9" w14:textId="77777777" w:rsidR="00AD4BEC" w:rsidRDefault="00AD4BEC" w:rsidP="00AD4BEC">
      <w:pPr>
        <w:rPr>
          <w:lang w:val="en-GB"/>
        </w:rPr>
      </w:pPr>
    </w:p>
    <w:p w14:paraId="790A8030" w14:textId="19F1C71A" w:rsidR="00AD4BEC" w:rsidRDefault="00AD4BEC" w:rsidP="00AD4BEC">
      <w:pPr>
        <w:ind w:left="1416" w:hanging="708"/>
        <w:rPr>
          <w:lang w:val="en-GB"/>
        </w:rPr>
      </w:pPr>
      <w:r>
        <w:rPr>
          <w:lang w:val="en-GB"/>
        </w:rPr>
        <w:t>11:</w:t>
      </w:r>
      <w:r w:rsidR="00485819">
        <w:rPr>
          <w:lang w:val="en-GB"/>
        </w:rPr>
        <w:t>3</w:t>
      </w:r>
      <w:r w:rsidR="004B4226">
        <w:rPr>
          <w:lang w:val="en-GB"/>
        </w:rPr>
        <w:t>5</w:t>
      </w:r>
      <w:r>
        <w:rPr>
          <w:lang w:val="en-GB"/>
        </w:rPr>
        <w:tab/>
        <w:t xml:space="preserve">Introduction I: </w:t>
      </w:r>
      <w:r w:rsidR="0047720F">
        <w:rPr>
          <w:lang w:val="en-GB"/>
        </w:rPr>
        <w:t>A new exclusive right for the trademark proprietor?</w:t>
      </w:r>
    </w:p>
    <w:p w14:paraId="22E4A56E" w14:textId="044FF5FF" w:rsidR="00AD4BEC" w:rsidRPr="00596939" w:rsidRDefault="00AD4BEC" w:rsidP="00AD4BEC">
      <w:pPr>
        <w:rPr>
          <w:i/>
          <w:iCs/>
          <w:lang w:val="en-GB"/>
        </w:rPr>
      </w:pPr>
      <w:r>
        <w:rPr>
          <w:lang w:val="en-GB"/>
        </w:rPr>
        <w:lastRenderedPageBreak/>
        <w:tab/>
      </w:r>
      <w:r>
        <w:rPr>
          <w:lang w:val="en-GB"/>
        </w:rPr>
        <w:tab/>
      </w:r>
      <w:r w:rsidR="00596939">
        <w:rPr>
          <w:i/>
          <w:iCs/>
          <w:lang w:val="en-GB"/>
        </w:rPr>
        <w:t>M</w:t>
      </w:r>
      <w:r w:rsidR="0047720F" w:rsidRPr="00596939">
        <w:rPr>
          <w:i/>
          <w:iCs/>
          <w:lang w:val="en-GB"/>
        </w:rPr>
        <w:t xml:space="preserve">r. Allard </w:t>
      </w:r>
      <w:proofErr w:type="spellStart"/>
      <w:r w:rsidR="0047720F" w:rsidRPr="00596939">
        <w:rPr>
          <w:i/>
          <w:iCs/>
          <w:lang w:val="en-GB"/>
        </w:rPr>
        <w:t>Rignalda</w:t>
      </w:r>
      <w:proofErr w:type="spellEnd"/>
      <w:r w:rsidR="00596939">
        <w:rPr>
          <w:i/>
          <w:iCs/>
          <w:lang w:val="en-GB"/>
        </w:rPr>
        <w:t xml:space="preserve"> (CIER, Utrecht)</w:t>
      </w:r>
    </w:p>
    <w:p w14:paraId="38AB2755" w14:textId="4167854D" w:rsidR="00AD4BEC" w:rsidRDefault="00AD4BEC" w:rsidP="00AD4BEC">
      <w:pPr>
        <w:ind w:left="1416" w:hanging="711"/>
        <w:rPr>
          <w:lang w:val="en-GB"/>
        </w:rPr>
      </w:pPr>
      <w:r>
        <w:rPr>
          <w:lang w:val="en-GB"/>
        </w:rPr>
        <w:t>11:</w:t>
      </w:r>
      <w:r w:rsidR="00485819">
        <w:rPr>
          <w:lang w:val="en-GB"/>
        </w:rPr>
        <w:t>4</w:t>
      </w:r>
      <w:r w:rsidR="004B4226">
        <w:rPr>
          <w:lang w:val="en-GB"/>
        </w:rPr>
        <w:t>5</w:t>
      </w:r>
      <w:r>
        <w:rPr>
          <w:lang w:val="en-GB"/>
        </w:rPr>
        <w:t xml:space="preserve"> </w:t>
      </w:r>
      <w:r>
        <w:rPr>
          <w:lang w:val="en-GB"/>
        </w:rPr>
        <w:tab/>
        <w:t xml:space="preserve">Introduction II: </w:t>
      </w:r>
      <w:r w:rsidR="00196AE5">
        <w:rPr>
          <w:lang w:val="en-GB"/>
        </w:rPr>
        <w:t xml:space="preserve">Legal qualification of </w:t>
      </w:r>
      <w:proofErr w:type="spellStart"/>
      <w:r w:rsidR="00196AE5">
        <w:rPr>
          <w:lang w:val="en-GB"/>
        </w:rPr>
        <w:t>debranding</w:t>
      </w:r>
      <w:proofErr w:type="spellEnd"/>
    </w:p>
    <w:p w14:paraId="1910AE77" w14:textId="610F053E" w:rsidR="00AD4BEC" w:rsidRPr="00736961" w:rsidRDefault="00AD4BEC" w:rsidP="00AD4BEC">
      <w:pPr>
        <w:rPr>
          <w:lang w:val="en-GB"/>
        </w:rPr>
      </w:pPr>
      <w:r>
        <w:rPr>
          <w:lang w:val="en-GB"/>
        </w:rPr>
        <w:tab/>
      </w:r>
      <w:r>
        <w:rPr>
          <w:lang w:val="en-GB"/>
        </w:rPr>
        <w:tab/>
      </w:r>
      <w:r w:rsidRPr="00736961">
        <w:rPr>
          <w:i/>
          <w:iCs/>
          <w:lang w:val="en-GB"/>
        </w:rPr>
        <w:t>Prof. Łukasz Żelechowski, Warsaw</w:t>
      </w:r>
      <w:r w:rsidR="00196AE5" w:rsidRPr="00736961">
        <w:rPr>
          <w:i/>
          <w:iCs/>
          <w:lang w:val="en-GB"/>
        </w:rPr>
        <w:t xml:space="preserve"> University</w:t>
      </w:r>
      <w:r w:rsidR="00736961" w:rsidRPr="00736961">
        <w:rPr>
          <w:i/>
          <w:iCs/>
          <w:lang w:val="en-GB"/>
        </w:rPr>
        <w:t xml:space="preserve"> - con</w:t>
      </w:r>
      <w:r w:rsidR="00736961">
        <w:rPr>
          <w:i/>
          <w:iCs/>
          <w:lang w:val="en-GB"/>
        </w:rPr>
        <w:t>firmed</w:t>
      </w:r>
    </w:p>
    <w:p w14:paraId="3001C2C1" w14:textId="4296CEF2" w:rsidR="00AD4BEC" w:rsidRDefault="00AD4BEC" w:rsidP="00AD4BEC">
      <w:pPr>
        <w:ind w:left="1416" w:hanging="711"/>
        <w:rPr>
          <w:lang w:val="en-GB"/>
        </w:rPr>
      </w:pPr>
      <w:r>
        <w:rPr>
          <w:lang w:val="en-GB"/>
        </w:rPr>
        <w:t>1</w:t>
      </w:r>
      <w:r w:rsidR="00485819">
        <w:rPr>
          <w:lang w:val="en-GB"/>
        </w:rPr>
        <w:t>1</w:t>
      </w:r>
      <w:r>
        <w:rPr>
          <w:lang w:val="en-GB"/>
        </w:rPr>
        <w:t>:</w:t>
      </w:r>
      <w:r w:rsidR="00485819">
        <w:rPr>
          <w:lang w:val="en-GB"/>
        </w:rPr>
        <w:t>5</w:t>
      </w:r>
      <w:r w:rsidR="004B4226">
        <w:rPr>
          <w:lang w:val="en-GB"/>
        </w:rPr>
        <w:t>5</w:t>
      </w:r>
      <w:r>
        <w:rPr>
          <w:lang w:val="en-GB"/>
        </w:rPr>
        <w:t xml:space="preserve"> </w:t>
      </w:r>
      <w:r>
        <w:rPr>
          <w:lang w:val="en-GB"/>
        </w:rPr>
        <w:tab/>
        <w:t xml:space="preserve">Introduction III: </w:t>
      </w:r>
      <w:r w:rsidR="008C19B9">
        <w:rPr>
          <w:lang w:val="en-GB"/>
        </w:rPr>
        <w:t xml:space="preserve">The relationship between </w:t>
      </w:r>
      <w:proofErr w:type="spellStart"/>
      <w:r w:rsidR="008C19B9">
        <w:rPr>
          <w:lang w:val="en-GB"/>
        </w:rPr>
        <w:t>debranding</w:t>
      </w:r>
      <w:proofErr w:type="spellEnd"/>
      <w:r w:rsidR="008C19B9">
        <w:rPr>
          <w:lang w:val="en-GB"/>
        </w:rPr>
        <w:t xml:space="preserve"> and trademark functions</w:t>
      </w:r>
    </w:p>
    <w:p w14:paraId="4E993071" w14:textId="58099878" w:rsidR="00AD4BEC" w:rsidRDefault="00AD4BEC" w:rsidP="00AD4BEC">
      <w:pPr>
        <w:rPr>
          <w:lang w:val="en-GB"/>
        </w:rPr>
      </w:pPr>
      <w:r>
        <w:rPr>
          <w:lang w:val="en-GB"/>
        </w:rPr>
        <w:tab/>
      </w:r>
      <w:r>
        <w:rPr>
          <w:lang w:val="en-GB"/>
        </w:rPr>
        <w:tab/>
      </w:r>
      <w:r w:rsidR="008C19B9" w:rsidRPr="00A1677C">
        <w:rPr>
          <w:i/>
          <w:iCs/>
          <w:lang w:val="en-US"/>
        </w:rPr>
        <w:t xml:space="preserve">Prof. Alexander von Mühlendahl, </w:t>
      </w:r>
      <w:r w:rsidR="00736961">
        <w:rPr>
          <w:i/>
          <w:iCs/>
          <w:lang w:val="en-US"/>
        </w:rPr>
        <w:t>Queen Mary University/</w:t>
      </w:r>
      <w:r w:rsidR="00485819">
        <w:rPr>
          <w:i/>
          <w:iCs/>
          <w:lang w:val="en-US"/>
        </w:rPr>
        <w:t>U. of</w:t>
      </w:r>
      <w:r w:rsidR="008C19B9" w:rsidRPr="00A1677C">
        <w:rPr>
          <w:i/>
          <w:iCs/>
          <w:lang w:val="en-US"/>
        </w:rPr>
        <w:t xml:space="preserve"> </w:t>
      </w:r>
      <w:r w:rsidR="008C19B9">
        <w:rPr>
          <w:i/>
          <w:iCs/>
          <w:lang w:val="en-US"/>
        </w:rPr>
        <w:t>Alicante</w:t>
      </w:r>
      <w:r w:rsidR="00485819">
        <w:rPr>
          <w:i/>
          <w:iCs/>
          <w:lang w:val="en-US"/>
        </w:rPr>
        <w:t xml:space="preserve"> -confirmed</w:t>
      </w:r>
    </w:p>
    <w:p w14:paraId="007B4817" w14:textId="4D249276" w:rsidR="00AD4BEC" w:rsidRDefault="00AD4BEC" w:rsidP="00AD4BEC">
      <w:pPr>
        <w:ind w:firstLine="708"/>
        <w:rPr>
          <w:lang w:val="en-GB"/>
        </w:rPr>
      </w:pPr>
      <w:r>
        <w:rPr>
          <w:lang w:val="en-GB"/>
        </w:rPr>
        <w:t>1</w:t>
      </w:r>
      <w:r w:rsidR="00596939">
        <w:rPr>
          <w:lang w:val="en-GB"/>
        </w:rPr>
        <w:t>2</w:t>
      </w:r>
      <w:r>
        <w:rPr>
          <w:lang w:val="en-GB"/>
        </w:rPr>
        <w:t>:</w:t>
      </w:r>
      <w:r w:rsidR="00485819">
        <w:rPr>
          <w:lang w:val="en-GB"/>
        </w:rPr>
        <w:t>05</w:t>
      </w:r>
      <w:r>
        <w:rPr>
          <w:lang w:val="en-GB"/>
        </w:rPr>
        <w:t xml:space="preserve"> </w:t>
      </w:r>
      <w:r>
        <w:rPr>
          <w:lang w:val="en-GB"/>
        </w:rPr>
        <w:tab/>
        <w:t>Discussion</w:t>
      </w:r>
    </w:p>
    <w:p w14:paraId="14894165" w14:textId="77777777" w:rsidR="00AD4BEC" w:rsidRDefault="00AD4BEC" w:rsidP="00AD4BEC">
      <w:pPr>
        <w:rPr>
          <w:lang w:val="en-GB"/>
        </w:rPr>
      </w:pPr>
    </w:p>
    <w:p w14:paraId="709E8B84" w14:textId="039DCC20" w:rsidR="00AD4BEC" w:rsidRDefault="00AD4BEC" w:rsidP="00AD4BEC">
      <w:pPr>
        <w:rPr>
          <w:lang w:val="en-GB"/>
        </w:rPr>
      </w:pPr>
      <w:r>
        <w:rPr>
          <w:lang w:val="en-GB"/>
        </w:rPr>
        <w:t>1</w:t>
      </w:r>
      <w:r w:rsidR="00596939">
        <w:rPr>
          <w:lang w:val="en-GB"/>
        </w:rPr>
        <w:t>3</w:t>
      </w:r>
      <w:r>
        <w:rPr>
          <w:lang w:val="en-GB"/>
        </w:rPr>
        <w:t>:</w:t>
      </w:r>
      <w:r w:rsidR="00596939">
        <w:rPr>
          <w:lang w:val="en-GB"/>
        </w:rPr>
        <w:t>00</w:t>
      </w:r>
      <w:r>
        <w:rPr>
          <w:lang w:val="en-GB"/>
        </w:rPr>
        <w:tab/>
        <w:t>Closing and suggestions concerning future projects</w:t>
      </w:r>
    </w:p>
    <w:p w14:paraId="0276635E" w14:textId="16594881" w:rsidR="00AD4BEC" w:rsidRPr="00596939" w:rsidRDefault="00AD4BEC" w:rsidP="00AD4BEC">
      <w:pPr>
        <w:rPr>
          <w:lang w:val="de-DE"/>
        </w:rPr>
      </w:pPr>
      <w:r w:rsidRPr="00596939">
        <w:rPr>
          <w:lang w:val="de-DE"/>
        </w:rPr>
        <w:t>13:</w:t>
      </w:r>
      <w:r w:rsidR="00596939">
        <w:rPr>
          <w:lang w:val="de-DE"/>
        </w:rPr>
        <w:t>1</w:t>
      </w:r>
      <w:r w:rsidRPr="00596939">
        <w:rPr>
          <w:lang w:val="de-DE"/>
        </w:rPr>
        <w:t xml:space="preserve">0 </w:t>
      </w:r>
      <w:r w:rsidRPr="00596939">
        <w:rPr>
          <w:lang w:val="de-DE"/>
        </w:rPr>
        <w:tab/>
        <w:t>Conference Lunch</w:t>
      </w:r>
    </w:p>
    <w:p w14:paraId="12CEB35D" w14:textId="77777777" w:rsidR="00AD4BEC" w:rsidRPr="00596939" w:rsidRDefault="00AD4BEC" w:rsidP="00AD4BEC">
      <w:pPr>
        <w:rPr>
          <w:lang w:val="de-DE"/>
        </w:rPr>
      </w:pPr>
    </w:p>
    <w:sectPr w:rsidR="00AD4BEC" w:rsidRPr="005969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CF24" w14:textId="77777777" w:rsidR="00125FD0" w:rsidRDefault="00125FD0" w:rsidP="00514066">
      <w:pPr>
        <w:spacing w:after="0" w:line="240" w:lineRule="auto"/>
      </w:pPr>
      <w:r>
        <w:separator/>
      </w:r>
    </w:p>
  </w:endnote>
  <w:endnote w:type="continuationSeparator" w:id="0">
    <w:p w14:paraId="3FB70ECD" w14:textId="77777777" w:rsidR="00125FD0" w:rsidRDefault="00125FD0" w:rsidP="0051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LatoWeb">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D8E3" w14:textId="77777777" w:rsidR="00125FD0" w:rsidRDefault="00125FD0" w:rsidP="00514066">
      <w:pPr>
        <w:spacing w:after="0" w:line="240" w:lineRule="auto"/>
      </w:pPr>
      <w:r>
        <w:separator/>
      </w:r>
    </w:p>
  </w:footnote>
  <w:footnote w:type="continuationSeparator" w:id="0">
    <w:p w14:paraId="14D39A98" w14:textId="77777777" w:rsidR="00125FD0" w:rsidRDefault="00125FD0" w:rsidP="00514066">
      <w:pPr>
        <w:spacing w:after="0" w:line="240" w:lineRule="auto"/>
      </w:pPr>
      <w:r>
        <w:continuationSeparator/>
      </w:r>
    </w:p>
  </w:footnote>
  <w:footnote w:id="1">
    <w:p w14:paraId="18AECF38"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w:t>
      </w:r>
      <w:hyperlink r:id="rId1" w:history="1">
        <w:r w:rsidRPr="006C1E1D">
          <w:rPr>
            <w:rStyle w:val="Hyperlink"/>
            <w:rFonts w:cs="Arial"/>
            <w:szCs w:val="16"/>
            <w:lang w:val="en-GB"/>
          </w:rPr>
          <w:t xml:space="preserve">I. </w:t>
        </w:r>
        <w:proofErr w:type="spellStart"/>
        <w:r w:rsidRPr="006C1E1D">
          <w:rPr>
            <w:rStyle w:val="Hyperlink"/>
            <w:rFonts w:cs="Arial"/>
            <w:szCs w:val="16"/>
            <w:lang w:val="en-GB"/>
          </w:rPr>
          <w:t>Calboli</w:t>
        </w:r>
        <w:proofErr w:type="spellEnd"/>
        <w:r w:rsidRPr="006C1E1D">
          <w:rPr>
            <w:rStyle w:val="Hyperlink"/>
            <w:rFonts w:cs="Arial"/>
            <w:szCs w:val="16"/>
            <w:lang w:val="en-GB"/>
          </w:rPr>
          <w:t xml:space="preserve">, 'Trademark Exhaustion in the European Union: Community-Wide or International? The Saga Continues' (2002). </w:t>
        </w:r>
        <w:r w:rsidRPr="006C1E1D">
          <w:rPr>
            <w:rStyle w:val="Hyperlink"/>
            <w:rFonts w:cs="Arial"/>
            <w:i/>
            <w:iCs/>
            <w:szCs w:val="16"/>
            <w:lang w:val="en-GB"/>
          </w:rPr>
          <w:t>Marquette Intellectual Property Law Review</w:t>
        </w:r>
        <w:r w:rsidRPr="006C1E1D">
          <w:rPr>
            <w:rStyle w:val="Hyperlink"/>
            <w:rFonts w:cs="Arial"/>
            <w:szCs w:val="16"/>
            <w:lang w:val="en-GB"/>
          </w:rPr>
          <w:t>. 6, (1), p. 47.</w:t>
        </w:r>
      </w:hyperlink>
    </w:p>
  </w:footnote>
  <w:footnote w:id="2">
    <w:p w14:paraId="05505191"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w:t>
      </w:r>
      <w:r>
        <w:rPr>
          <w:rFonts w:cs="Arial"/>
          <w:szCs w:val="16"/>
          <w:lang w:val="en-GB"/>
        </w:rPr>
        <w:t xml:space="preserve">See for example: </w:t>
      </w:r>
      <w:hyperlink r:id="rId2" w:history="1">
        <w:r w:rsidRPr="003445B6">
          <w:rPr>
            <w:rStyle w:val="Hyperlink"/>
            <w:rFonts w:cs="Arial"/>
            <w:szCs w:val="16"/>
            <w:lang w:val="en-GB"/>
          </w:rPr>
          <w:t>A. Kur, ‘As Good as New’ – Sale of Repaired or Refurbished Goods: Commendable Practice or Trade Mark Infringement?, GRUR International</w:t>
        </w:r>
        <w:r>
          <w:rPr>
            <w:rStyle w:val="Hyperlink"/>
            <w:rFonts w:cs="Arial"/>
            <w:szCs w:val="16"/>
            <w:lang w:val="en-GB"/>
          </w:rPr>
          <w:t xml:space="preserve"> </w:t>
        </w:r>
        <w:r w:rsidRPr="00C95C00">
          <w:rPr>
            <w:rStyle w:val="Hyperlink"/>
            <w:rFonts w:cs="Arial"/>
            <w:szCs w:val="16"/>
            <w:lang w:val="en-GB"/>
          </w:rPr>
          <w:t>2021</w:t>
        </w:r>
        <w:r w:rsidRPr="003445B6">
          <w:rPr>
            <w:rStyle w:val="Hyperlink"/>
            <w:rFonts w:cs="Arial"/>
            <w:szCs w:val="16"/>
            <w:lang w:val="en-GB"/>
          </w:rPr>
          <w:t xml:space="preserve">, </w:t>
        </w:r>
        <w:r>
          <w:rPr>
            <w:rStyle w:val="Hyperlink"/>
            <w:rFonts w:cs="Arial"/>
            <w:szCs w:val="16"/>
            <w:lang w:val="en-GB"/>
          </w:rPr>
          <w:t xml:space="preserve">issue </w:t>
        </w:r>
        <w:r w:rsidRPr="003445B6">
          <w:rPr>
            <w:rStyle w:val="Hyperlink"/>
            <w:rFonts w:cs="Arial"/>
            <w:szCs w:val="16"/>
            <w:lang w:val="en-GB"/>
          </w:rPr>
          <w:t>7</w:t>
        </w:r>
        <w:r>
          <w:rPr>
            <w:rStyle w:val="Hyperlink"/>
            <w:rFonts w:cs="Arial"/>
            <w:szCs w:val="16"/>
            <w:lang w:val="en-GB"/>
          </w:rPr>
          <w:t>0</w:t>
        </w:r>
        <w:r w:rsidRPr="003445B6">
          <w:rPr>
            <w:rStyle w:val="Hyperlink"/>
            <w:rFonts w:cs="Arial"/>
            <w:szCs w:val="16"/>
            <w:lang w:val="en-GB"/>
          </w:rPr>
          <w:t>, 228–236.</w:t>
        </w:r>
      </w:hyperlink>
    </w:p>
  </w:footnote>
  <w:footnote w:id="3">
    <w:p w14:paraId="7555E052"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HR </w:t>
      </w:r>
      <w:r>
        <w:rPr>
          <w:rFonts w:cs="Arial"/>
          <w:szCs w:val="16"/>
          <w:lang w:val="en-GB"/>
        </w:rPr>
        <w:t xml:space="preserve">March </w:t>
      </w:r>
      <w:r w:rsidRPr="003445B6">
        <w:rPr>
          <w:rFonts w:cs="Arial"/>
          <w:szCs w:val="16"/>
          <w:lang w:val="en-GB"/>
        </w:rPr>
        <w:t>22 2022</w:t>
      </w:r>
      <w:hyperlink r:id="rId3" w:anchor="!/details?id=ECLI:NL:GHSHE:2020:2699" w:history="1">
        <w:r w:rsidRPr="003445B6">
          <w:rPr>
            <w:rStyle w:val="Hyperlink"/>
            <w:rFonts w:cs="Arial"/>
            <w:szCs w:val="16"/>
            <w:lang w:val="en-GB"/>
          </w:rPr>
          <w:t>, ECLI:NL:GHSHE:2020:2699</w:t>
        </w:r>
      </w:hyperlink>
      <w:r w:rsidRPr="003445B6">
        <w:rPr>
          <w:rFonts w:cs="Arial"/>
          <w:szCs w:val="16"/>
          <w:lang w:val="en-GB"/>
        </w:rPr>
        <w:t xml:space="preserve"> (</w:t>
      </w:r>
      <w:proofErr w:type="spellStart"/>
      <w:r w:rsidRPr="003445B6">
        <w:rPr>
          <w:rFonts w:cs="Arial"/>
          <w:i/>
          <w:iCs/>
          <w:szCs w:val="16"/>
          <w:lang w:val="en-GB"/>
        </w:rPr>
        <w:t>Sporttrading</w:t>
      </w:r>
      <w:proofErr w:type="spellEnd"/>
      <w:r w:rsidRPr="003445B6">
        <w:rPr>
          <w:rFonts w:cs="Arial"/>
          <w:i/>
          <w:iCs/>
          <w:szCs w:val="16"/>
          <w:lang w:val="en-GB"/>
        </w:rPr>
        <w:t xml:space="preserve"> v Converse</w:t>
      </w:r>
      <w:r w:rsidRPr="003445B6">
        <w:rPr>
          <w:rFonts w:cs="Arial"/>
          <w:szCs w:val="16"/>
          <w:lang w:val="en-GB"/>
        </w:rPr>
        <w:t>).</w:t>
      </w:r>
    </w:p>
  </w:footnote>
  <w:footnote w:id="4">
    <w:p w14:paraId="7A8B8FEA"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HR 22 </w:t>
      </w:r>
      <w:r>
        <w:rPr>
          <w:rFonts w:cs="Arial"/>
          <w:szCs w:val="16"/>
          <w:lang w:val="en-GB"/>
        </w:rPr>
        <w:t>D</w:t>
      </w:r>
      <w:r w:rsidRPr="003445B6">
        <w:rPr>
          <w:rFonts w:cs="Arial"/>
          <w:szCs w:val="16"/>
          <w:lang w:val="en-GB"/>
        </w:rPr>
        <w:t>ec</w:t>
      </w:r>
      <w:r>
        <w:rPr>
          <w:rFonts w:cs="Arial"/>
          <w:szCs w:val="16"/>
          <w:lang w:val="en-GB"/>
        </w:rPr>
        <w:t>ember</w:t>
      </w:r>
      <w:r w:rsidRPr="003445B6">
        <w:rPr>
          <w:rFonts w:cs="Arial"/>
          <w:szCs w:val="16"/>
          <w:lang w:val="en-GB"/>
        </w:rPr>
        <w:t xml:space="preserve"> 2022</w:t>
      </w:r>
      <w:hyperlink r:id="rId4" w:anchor="!/details?id=ECLI:NL:GHSHE:2020:2699" w:history="1">
        <w:r w:rsidRPr="003445B6">
          <w:rPr>
            <w:rStyle w:val="Hyperlink"/>
            <w:rFonts w:cs="Arial"/>
            <w:szCs w:val="16"/>
            <w:lang w:val="en-GB"/>
          </w:rPr>
          <w:t>, ECLI:NL:GHSHE:2020:2699</w:t>
        </w:r>
      </w:hyperlink>
      <w:r w:rsidRPr="003445B6">
        <w:rPr>
          <w:rFonts w:cs="Arial"/>
          <w:szCs w:val="16"/>
          <w:lang w:val="en-GB"/>
        </w:rPr>
        <w:t xml:space="preserve"> (</w:t>
      </w:r>
      <w:proofErr w:type="spellStart"/>
      <w:r w:rsidRPr="003445B6">
        <w:rPr>
          <w:rFonts w:cs="Arial"/>
          <w:i/>
          <w:iCs/>
          <w:szCs w:val="16"/>
          <w:lang w:val="en-GB"/>
        </w:rPr>
        <w:t>Sporttrading</w:t>
      </w:r>
      <w:proofErr w:type="spellEnd"/>
      <w:r w:rsidRPr="003445B6">
        <w:rPr>
          <w:rFonts w:cs="Arial"/>
          <w:i/>
          <w:iCs/>
          <w:szCs w:val="16"/>
          <w:lang w:val="en-GB"/>
        </w:rPr>
        <w:t xml:space="preserve"> v Converse </w:t>
      </w:r>
      <w:proofErr w:type="spellStart"/>
      <w:r w:rsidRPr="003445B6">
        <w:rPr>
          <w:rFonts w:cs="Arial"/>
          <w:i/>
          <w:iCs/>
          <w:szCs w:val="16"/>
          <w:lang w:val="en-GB"/>
        </w:rPr>
        <w:t>c.s</w:t>
      </w:r>
      <w:proofErr w:type="spellEnd"/>
      <w:r w:rsidRPr="003445B6">
        <w:rPr>
          <w:rFonts w:cs="Arial"/>
          <w:i/>
          <w:iCs/>
          <w:szCs w:val="16"/>
          <w:lang w:val="en-GB"/>
        </w:rPr>
        <w:t>.</w:t>
      </w:r>
      <w:r w:rsidRPr="003445B6">
        <w:rPr>
          <w:rFonts w:cs="Arial"/>
          <w:szCs w:val="16"/>
          <w:lang w:val="en-GB"/>
        </w:rPr>
        <w:t xml:space="preserve">), </w:t>
      </w:r>
      <w:r>
        <w:rPr>
          <w:rFonts w:cs="Arial"/>
          <w:szCs w:val="16"/>
          <w:lang w:val="en-GB"/>
        </w:rPr>
        <w:t>para</w:t>
      </w:r>
      <w:r w:rsidRPr="003445B6">
        <w:rPr>
          <w:rFonts w:cs="Arial"/>
          <w:szCs w:val="16"/>
          <w:lang w:val="en-GB"/>
        </w:rPr>
        <w:t>. 3.79.</w:t>
      </w:r>
    </w:p>
  </w:footnote>
  <w:footnote w:id="5">
    <w:p w14:paraId="571CF406" w14:textId="77777777" w:rsidR="00514066" w:rsidRPr="00AD007D" w:rsidRDefault="00514066" w:rsidP="00514066">
      <w:pPr>
        <w:pStyle w:val="FootnoteText"/>
        <w:rPr>
          <w:rFonts w:cs="Arial"/>
          <w:szCs w:val="16"/>
          <w:lang w:val="en-GB"/>
        </w:rPr>
      </w:pPr>
      <w:r w:rsidRPr="003445B6">
        <w:rPr>
          <w:rStyle w:val="FootnoteReference"/>
          <w:rFonts w:cs="Arial"/>
          <w:szCs w:val="16"/>
        </w:rPr>
        <w:footnoteRef/>
      </w:r>
      <w:r w:rsidRPr="00AD007D">
        <w:rPr>
          <w:rFonts w:cs="Arial"/>
          <w:szCs w:val="16"/>
          <w:lang w:val="en-GB"/>
        </w:rPr>
        <w:t xml:space="preserve"> </w:t>
      </w:r>
      <w:r>
        <w:rPr>
          <w:rFonts w:cs="Arial"/>
          <w:szCs w:val="16"/>
          <w:lang w:val="en-GB"/>
        </w:rPr>
        <w:t xml:space="preserve"> See for other distribution systems for example:  </w:t>
      </w:r>
      <w:r w:rsidRPr="00AD007D">
        <w:rPr>
          <w:rFonts w:cs="Arial"/>
          <w:szCs w:val="16"/>
          <w:lang w:val="en-GB"/>
        </w:rPr>
        <w:t xml:space="preserve">HR 19 March 2021, </w:t>
      </w:r>
      <w:hyperlink r:id="rId5" w:anchor="!/details?id=ECLI:NL:HR:2021:417" w:history="1">
        <w:r w:rsidRPr="00AD007D">
          <w:rPr>
            <w:rStyle w:val="Hyperlink"/>
            <w:rFonts w:cs="Arial"/>
            <w:szCs w:val="16"/>
            <w:lang w:val="en-GB"/>
          </w:rPr>
          <w:t>ECLI:NL:HR:2021:417</w:t>
        </w:r>
      </w:hyperlink>
      <w:r w:rsidRPr="00AD007D">
        <w:rPr>
          <w:rFonts w:cs="Arial"/>
          <w:szCs w:val="16"/>
          <w:lang w:val="en-GB"/>
        </w:rPr>
        <w:t xml:space="preserve"> (</w:t>
      </w:r>
      <w:r w:rsidRPr="00AD007D">
        <w:rPr>
          <w:rFonts w:cs="Arial"/>
          <w:i/>
          <w:iCs/>
          <w:szCs w:val="16"/>
          <w:lang w:val="en-GB"/>
        </w:rPr>
        <w:t>Guy Laroche v 4 EW</w:t>
      </w:r>
      <w:r w:rsidRPr="00AD007D">
        <w:rPr>
          <w:rFonts w:cs="Arial"/>
          <w:szCs w:val="16"/>
          <w:lang w:val="en-GB"/>
        </w:rPr>
        <w:t>).</w:t>
      </w:r>
    </w:p>
  </w:footnote>
  <w:footnote w:id="6">
    <w:p w14:paraId="0CCA794D" w14:textId="77777777" w:rsidR="00514066" w:rsidRPr="006C1E1D" w:rsidRDefault="00514066" w:rsidP="00514066">
      <w:pPr>
        <w:pStyle w:val="FootnoteText"/>
        <w:rPr>
          <w:rFonts w:cs="Arial"/>
          <w:szCs w:val="16"/>
          <w:lang w:val="en-GB"/>
        </w:rPr>
      </w:pPr>
      <w:r w:rsidRPr="003445B6">
        <w:rPr>
          <w:rStyle w:val="FootnoteReference"/>
          <w:rFonts w:cs="Arial"/>
          <w:szCs w:val="16"/>
        </w:rPr>
        <w:footnoteRef/>
      </w:r>
      <w:r w:rsidRPr="006C1E1D">
        <w:rPr>
          <w:rFonts w:cs="Arial"/>
          <w:szCs w:val="16"/>
          <w:lang w:val="en-GB"/>
        </w:rPr>
        <w:t xml:space="preserve"> HR 6 March 2020, </w:t>
      </w:r>
      <w:hyperlink r:id="rId6" w:history="1">
        <w:r w:rsidRPr="006C1E1D">
          <w:rPr>
            <w:rStyle w:val="Hyperlink"/>
            <w:rFonts w:cs="Arial"/>
            <w:szCs w:val="16"/>
            <w:lang w:val="en-GB"/>
          </w:rPr>
          <w:t>ECLI:NL:HR:2020:391</w:t>
        </w:r>
      </w:hyperlink>
      <w:r w:rsidRPr="006C1E1D">
        <w:rPr>
          <w:rFonts w:cs="Arial"/>
          <w:szCs w:val="16"/>
          <w:lang w:val="en-GB"/>
        </w:rPr>
        <w:t xml:space="preserve"> </w:t>
      </w:r>
      <w:r>
        <w:rPr>
          <w:rFonts w:cs="Arial"/>
          <w:szCs w:val="16"/>
          <w:lang w:val="en-GB"/>
        </w:rPr>
        <w:t>and</w:t>
      </w:r>
      <w:r w:rsidRPr="006C1E1D">
        <w:rPr>
          <w:rFonts w:cs="Arial"/>
          <w:szCs w:val="16"/>
          <w:lang w:val="en-GB"/>
        </w:rPr>
        <w:t xml:space="preserve"> </w:t>
      </w:r>
      <w:hyperlink r:id="rId7" w:history="1">
        <w:r w:rsidRPr="006C1E1D">
          <w:rPr>
            <w:rStyle w:val="Hyperlink"/>
            <w:rFonts w:cs="Arial"/>
            <w:szCs w:val="16"/>
            <w:lang w:val="en-GB"/>
          </w:rPr>
          <w:t>C-133/20</w:t>
        </w:r>
      </w:hyperlink>
      <w:r w:rsidRPr="006C1E1D">
        <w:rPr>
          <w:rFonts w:cs="Arial"/>
          <w:color w:val="000000" w:themeColor="text1"/>
          <w:szCs w:val="16"/>
          <w:lang w:val="en-GB"/>
        </w:rPr>
        <w:t>.</w:t>
      </w:r>
    </w:p>
  </w:footnote>
  <w:footnote w:id="7">
    <w:p w14:paraId="7CAC292A" w14:textId="55292ED9" w:rsidR="00224A83" w:rsidRPr="00224A83" w:rsidRDefault="00224A83">
      <w:pPr>
        <w:pStyle w:val="FootnoteText"/>
        <w:rPr>
          <w:lang w:val="en-US"/>
        </w:rPr>
      </w:pPr>
      <w:r>
        <w:rPr>
          <w:rStyle w:val="FootnoteReference"/>
        </w:rPr>
        <w:footnoteRef/>
      </w:r>
      <w:r w:rsidRPr="00224A83">
        <w:rPr>
          <w:lang w:val="en-US"/>
        </w:rPr>
        <w:t xml:space="preserve"> </w:t>
      </w:r>
      <w:r>
        <w:rPr>
          <w:lang w:val="en-US"/>
        </w:rPr>
        <w:t xml:space="preserve">The case dealt with the identical art 13 </w:t>
      </w:r>
      <w:proofErr w:type="spellStart"/>
      <w:r>
        <w:rPr>
          <w:lang w:val="en-US"/>
        </w:rPr>
        <w:t>CTMReg</w:t>
      </w:r>
      <w:proofErr w:type="spellEnd"/>
      <w:r>
        <w:rPr>
          <w:lang w:val="en-US"/>
        </w:rPr>
        <w:t xml:space="preserve">, but for </w:t>
      </w:r>
      <w:r w:rsidR="00156EF7">
        <w:rPr>
          <w:lang w:val="en-US"/>
        </w:rPr>
        <w:t>purposes of discussion here</w:t>
      </w:r>
      <w:r>
        <w:rPr>
          <w:lang w:val="en-US"/>
        </w:rPr>
        <w:t xml:space="preserve"> reference</w:t>
      </w:r>
      <w:r w:rsidR="00156EF7">
        <w:rPr>
          <w:lang w:val="en-US"/>
        </w:rPr>
        <w:t xml:space="preserve"> is made to the EUTMR.</w:t>
      </w:r>
      <w:r>
        <w:rPr>
          <w:lang w:val="en-US"/>
        </w:rPr>
        <w:t xml:space="preserve"> </w:t>
      </w:r>
    </w:p>
  </w:footnote>
  <w:footnote w:id="8">
    <w:p w14:paraId="4E9C40C2" w14:textId="72EA6EAE" w:rsidR="00514066" w:rsidRPr="003445B6" w:rsidRDefault="00485819" w:rsidP="00514066">
      <w:pPr>
        <w:pStyle w:val="FootnoteText"/>
        <w:rPr>
          <w:rFonts w:cs="Arial"/>
          <w:szCs w:val="16"/>
          <w:u w:val="single"/>
          <w:lang w:val="en-GB"/>
        </w:rPr>
      </w:pPr>
      <w:hyperlink r:id="rId8" w:history="1">
        <w:r w:rsidR="00514066" w:rsidRPr="003445B6">
          <w:rPr>
            <w:rStyle w:val="Hyperlink"/>
            <w:rFonts w:cs="Arial"/>
            <w:szCs w:val="16"/>
            <w:vertAlign w:val="superscript"/>
          </w:rPr>
          <w:footnoteRef/>
        </w:r>
        <w:r w:rsidR="00514066" w:rsidRPr="003445B6">
          <w:rPr>
            <w:rStyle w:val="Hyperlink"/>
            <w:rFonts w:cs="Arial"/>
            <w:szCs w:val="16"/>
            <w:lang w:val="en-GB"/>
          </w:rPr>
          <w:t xml:space="preserve"> R.</w:t>
        </w:r>
        <w:r w:rsidR="007F6F0A">
          <w:rPr>
            <w:rStyle w:val="Hyperlink"/>
            <w:rFonts w:cs="Arial"/>
            <w:szCs w:val="16"/>
            <w:lang w:val="en-GB"/>
          </w:rPr>
          <w:t xml:space="preserve"> </w:t>
        </w:r>
        <w:proofErr w:type="spellStart"/>
        <w:r w:rsidR="00514066" w:rsidRPr="003445B6">
          <w:rPr>
            <w:rStyle w:val="Hyperlink"/>
            <w:rFonts w:cs="Arial"/>
            <w:szCs w:val="16"/>
            <w:lang w:val="en-GB"/>
          </w:rPr>
          <w:t>Gourdel</w:t>
        </w:r>
        <w:proofErr w:type="spellEnd"/>
        <w:r w:rsidR="00514066" w:rsidRPr="003445B6">
          <w:rPr>
            <w:rStyle w:val="Hyperlink"/>
            <w:rFonts w:cs="Arial"/>
            <w:szCs w:val="16"/>
            <w:lang w:val="en-GB"/>
          </w:rPr>
          <w:t xml:space="preserve"> </w:t>
        </w:r>
        <w:proofErr w:type="spellStart"/>
        <w:r w:rsidR="00514066" w:rsidRPr="003445B6">
          <w:rPr>
            <w:rStyle w:val="Hyperlink"/>
            <w:rFonts w:cs="Arial"/>
            <w:szCs w:val="16"/>
            <w:lang w:val="en-GB"/>
          </w:rPr>
          <w:t>e.a.</w:t>
        </w:r>
        <w:proofErr w:type="spellEnd"/>
        <w:r w:rsidR="00514066" w:rsidRPr="003445B6">
          <w:rPr>
            <w:rStyle w:val="Hyperlink"/>
            <w:rFonts w:cs="Arial"/>
            <w:szCs w:val="16"/>
            <w:lang w:val="en-GB"/>
          </w:rPr>
          <w:t xml:space="preserve"> 'The double materiality of climate physical and transition risks in the euro area', working paper No 2665/ May 2022.</w:t>
        </w:r>
      </w:hyperlink>
    </w:p>
  </w:footnote>
  <w:footnote w:id="9">
    <w:p w14:paraId="5B6D3EBF" w14:textId="77777777" w:rsidR="00514066" w:rsidRPr="003445B6" w:rsidRDefault="00514066" w:rsidP="00514066">
      <w:pPr>
        <w:pStyle w:val="FootnoteText"/>
        <w:rPr>
          <w:lang w:val="en-GB"/>
        </w:rPr>
      </w:pPr>
      <w:r>
        <w:rPr>
          <w:rStyle w:val="FootnoteReference"/>
        </w:rPr>
        <w:footnoteRef/>
      </w:r>
      <w:r w:rsidRPr="003445B6">
        <w:rPr>
          <w:lang w:val="en-GB"/>
        </w:rPr>
        <w:t xml:space="preserve"> </w:t>
      </w:r>
      <w:r>
        <w:rPr>
          <w:lang w:val="en-GB"/>
        </w:rPr>
        <w:t xml:space="preserve">The discussion of sufficient communications towards the consumer surrounding the re-use, repackaging and repair of products will be further expanded upon under 2.6 in relation to the Soda-stream case. </w:t>
      </w:r>
    </w:p>
  </w:footnote>
  <w:footnote w:id="10">
    <w:p w14:paraId="090D114A" w14:textId="77777777" w:rsidR="00514066" w:rsidRPr="003445B6" w:rsidRDefault="00485819" w:rsidP="00514066">
      <w:pPr>
        <w:pStyle w:val="FootnoteText"/>
        <w:rPr>
          <w:rFonts w:cs="Arial"/>
          <w:szCs w:val="16"/>
          <w:lang w:val="en-GB"/>
        </w:rPr>
      </w:pPr>
      <w:hyperlink r:id="rId9" w:history="1">
        <w:r w:rsidR="00514066" w:rsidRPr="003445B6">
          <w:rPr>
            <w:rStyle w:val="Hyperlink"/>
            <w:rFonts w:cs="Arial"/>
            <w:szCs w:val="16"/>
            <w:vertAlign w:val="superscript"/>
          </w:rPr>
          <w:footnoteRef/>
        </w:r>
        <w:r w:rsidR="00514066" w:rsidRPr="003445B6">
          <w:rPr>
            <w:rStyle w:val="Hyperlink"/>
            <w:rFonts w:cs="Arial"/>
            <w:szCs w:val="16"/>
            <w:lang w:val="en-GB"/>
          </w:rPr>
          <w:t xml:space="preserve"> Right to Repair Europe, 'Apple crushes one-man repair shop in Norway’s Supreme Court, after three-year battle', righttorepair.com 2020</w:t>
        </w:r>
      </w:hyperlink>
      <w:r w:rsidR="00514066" w:rsidRPr="003445B6">
        <w:rPr>
          <w:rFonts w:cs="Arial"/>
          <w:szCs w:val="16"/>
          <w:lang w:val="en-GB"/>
        </w:rPr>
        <w:t>.</w:t>
      </w:r>
    </w:p>
  </w:footnote>
  <w:footnote w:id="11">
    <w:p w14:paraId="5A790899"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w:t>
      </w:r>
      <w:hyperlink r:id="rId10" w:history="1">
        <w:r w:rsidRPr="00B218DE">
          <w:rPr>
            <w:rStyle w:val="Hyperlink"/>
            <w:lang w:val="en-GB"/>
          </w:rPr>
          <w:t xml:space="preserve">K. Stenvik, 'Importation of Goods Affixed with a Trademark Concealed by a Removable Marker', </w:t>
        </w:r>
        <w:r w:rsidRPr="00637EE2">
          <w:rPr>
            <w:rStyle w:val="Hyperlink"/>
            <w:i/>
            <w:iCs/>
            <w:lang w:val="en-GB"/>
          </w:rPr>
          <w:t>GRUR International</w:t>
        </w:r>
        <w:r>
          <w:rPr>
            <w:rStyle w:val="Hyperlink"/>
            <w:lang w:val="en-GB"/>
          </w:rPr>
          <w:t xml:space="preserve"> 2021</w:t>
        </w:r>
        <w:r w:rsidRPr="00B218DE">
          <w:rPr>
            <w:rStyle w:val="Hyperlink"/>
            <w:lang w:val="en-GB"/>
          </w:rPr>
          <w:t xml:space="preserve">, issue 3, p. 285-290, </w:t>
        </w:r>
        <w:r w:rsidRPr="00B218DE">
          <w:rPr>
            <w:rStyle w:val="Hyperlink"/>
            <w:rFonts w:cs="Arial"/>
            <w:szCs w:val="16"/>
            <w:lang w:val="en-GB"/>
          </w:rPr>
          <w:t>para 28.</w:t>
        </w:r>
      </w:hyperlink>
    </w:p>
  </w:footnote>
  <w:footnote w:id="12">
    <w:p w14:paraId="704BC2FA" w14:textId="77777777" w:rsidR="00514066" w:rsidRPr="003445B6" w:rsidRDefault="00514066" w:rsidP="00514066">
      <w:pPr>
        <w:pStyle w:val="FootnoteText"/>
        <w:rPr>
          <w:lang w:val="en-GB"/>
        </w:rPr>
      </w:pPr>
      <w:r>
        <w:rPr>
          <w:rStyle w:val="FootnoteReference"/>
        </w:rPr>
        <w:footnoteRef/>
      </w:r>
      <w:r w:rsidRPr="003445B6">
        <w:rPr>
          <w:lang w:val="en-GB"/>
        </w:rPr>
        <w:t xml:space="preserve"> </w:t>
      </w:r>
      <w:r>
        <w:rPr>
          <w:lang w:val="en-GB"/>
        </w:rPr>
        <w:t xml:space="preserve">Questions 1. a-c of the retracted request to the CJEU by the Dutch Supreme Court relate to this issue as well. </w:t>
      </w:r>
    </w:p>
  </w:footnote>
  <w:footnote w:id="13">
    <w:p w14:paraId="2583D227" w14:textId="77777777" w:rsidR="00514066" w:rsidRPr="00AB6D5A" w:rsidRDefault="00514066" w:rsidP="00514066">
      <w:pPr>
        <w:pStyle w:val="FootnoteText"/>
        <w:rPr>
          <w:lang w:val="en-GB"/>
        </w:rPr>
      </w:pPr>
      <w:r>
        <w:rPr>
          <w:rStyle w:val="FootnoteReference"/>
        </w:rPr>
        <w:footnoteRef/>
      </w:r>
      <w:r w:rsidRPr="00AB6D5A">
        <w:rPr>
          <w:lang w:val="en-GB"/>
        </w:rPr>
        <w:t xml:space="preserve"> </w:t>
      </w:r>
      <w:hyperlink r:id="rId11" w:history="1">
        <w:r w:rsidRPr="00AB6D5A">
          <w:rPr>
            <w:rStyle w:val="Hyperlink"/>
            <w:lang w:val="en-GB"/>
          </w:rPr>
          <w:t xml:space="preserve">K. Stenvik, 'Importation of Goods Affixed with a Trademark Concealed by a Removable Marker', </w:t>
        </w:r>
        <w:r w:rsidRPr="00AB6D5A">
          <w:rPr>
            <w:rStyle w:val="Hyperlink"/>
            <w:i/>
            <w:iCs/>
            <w:lang w:val="en-GB"/>
          </w:rPr>
          <w:t>GRUR International 2021,</w:t>
        </w:r>
        <w:r w:rsidRPr="00AB6D5A">
          <w:rPr>
            <w:rStyle w:val="Hyperlink"/>
            <w:lang w:val="en-GB"/>
          </w:rPr>
          <w:t xml:space="preserve"> issue 3, p. 285-290, para 38.</w:t>
        </w:r>
      </w:hyperlink>
    </w:p>
  </w:footnote>
  <w:footnote w:id="14">
    <w:p w14:paraId="4D21FA35" w14:textId="77777777" w:rsidR="00514066" w:rsidRPr="003445B6" w:rsidRDefault="00514066" w:rsidP="00514066">
      <w:pPr>
        <w:pStyle w:val="FootnoteText"/>
        <w:rPr>
          <w:rFonts w:cs="Arial"/>
          <w:szCs w:val="16"/>
          <w:lang w:val="en-GB"/>
        </w:rPr>
      </w:pPr>
      <w:r w:rsidRPr="003445B6">
        <w:rPr>
          <w:rStyle w:val="FootnoteReference"/>
          <w:rFonts w:cs="Arial"/>
          <w:szCs w:val="16"/>
        </w:rPr>
        <w:footnoteRef/>
      </w:r>
      <w:r w:rsidRPr="003445B6">
        <w:rPr>
          <w:rFonts w:cs="Arial"/>
          <w:szCs w:val="16"/>
          <w:lang w:val="en-GB"/>
        </w:rPr>
        <w:t xml:space="preserve"> </w:t>
      </w:r>
      <w:hyperlink r:id="rId12" w:history="1">
        <w:r w:rsidRPr="003445B6">
          <w:rPr>
            <w:rStyle w:val="Hyperlink"/>
            <w:rFonts w:cs="Arial"/>
            <w:szCs w:val="16"/>
            <w:lang w:val="en-GB"/>
          </w:rPr>
          <w:t>B. Martinet &amp; N. Bize, 'Upcycling: brands buckle up for a new fashion trend', WIPR 2021.</w:t>
        </w:r>
      </w:hyperlink>
    </w:p>
  </w:footnote>
  <w:footnote w:id="15">
    <w:p w14:paraId="2B88AD81" w14:textId="43ADBCB4" w:rsidR="00514066" w:rsidRPr="00195492" w:rsidRDefault="00514066" w:rsidP="00514066">
      <w:pPr>
        <w:pStyle w:val="FootnoteText"/>
        <w:rPr>
          <w:rFonts w:cs="Arial"/>
          <w:szCs w:val="16"/>
          <w:lang w:val="en-GB"/>
        </w:rPr>
      </w:pPr>
      <w:r w:rsidRPr="003445B6">
        <w:rPr>
          <w:rStyle w:val="FootnoteReference"/>
          <w:rFonts w:cs="Arial"/>
          <w:szCs w:val="16"/>
        </w:rPr>
        <w:footnoteRef/>
      </w:r>
      <w:r w:rsidRPr="00195492">
        <w:rPr>
          <w:rFonts w:cs="Arial"/>
          <w:szCs w:val="16"/>
          <w:lang w:val="en-GB"/>
        </w:rPr>
        <w:t xml:space="preserve"> Benelux </w:t>
      </w:r>
      <w:r w:rsidR="007F6F0A">
        <w:rPr>
          <w:rFonts w:cs="Arial"/>
          <w:szCs w:val="16"/>
          <w:lang w:val="en-GB"/>
        </w:rPr>
        <w:t>Court of Justice</w:t>
      </w:r>
      <w:r w:rsidRPr="00195492">
        <w:rPr>
          <w:rFonts w:cs="Arial"/>
          <w:szCs w:val="16"/>
          <w:lang w:val="en-GB"/>
        </w:rPr>
        <w:t xml:space="preserve"> 14 O</w:t>
      </w:r>
      <w:r w:rsidR="007F6F0A">
        <w:rPr>
          <w:rFonts w:cs="Arial"/>
          <w:szCs w:val="16"/>
          <w:lang w:val="en-GB"/>
        </w:rPr>
        <w:t>c</w:t>
      </w:r>
      <w:r w:rsidRPr="00195492">
        <w:rPr>
          <w:rFonts w:cs="Arial"/>
          <w:szCs w:val="16"/>
          <w:lang w:val="en-GB"/>
        </w:rPr>
        <w:t xml:space="preserve">tober 2019, </w:t>
      </w:r>
      <w:hyperlink r:id="rId13" w:history="1">
        <w:r w:rsidRPr="00195492">
          <w:rPr>
            <w:rStyle w:val="Hyperlink"/>
            <w:rFonts w:cs="Arial"/>
            <w:szCs w:val="16"/>
            <w:lang w:val="en-GB"/>
          </w:rPr>
          <w:t xml:space="preserve">IEF 18795, </w:t>
        </w:r>
        <w:proofErr w:type="spellStart"/>
        <w:r w:rsidRPr="00195492">
          <w:rPr>
            <w:rStyle w:val="Hyperlink"/>
            <w:rFonts w:cs="Arial"/>
            <w:szCs w:val="16"/>
            <w:lang w:val="en-GB"/>
          </w:rPr>
          <w:t>IEFbe</w:t>
        </w:r>
        <w:proofErr w:type="spellEnd"/>
        <w:r w:rsidRPr="00195492">
          <w:rPr>
            <w:rStyle w:val="Hyperlink"/>
            <w:rFonts w:cs="Arial"/>
            <w:szCs w:val="16"/>
            <w:lang w:val="en-GB"/>
          </w:rPr>
          <w:t xml:space="preserve"> 2983; A 2018/1/8</w:t>
        </w:r>
      </w:hyperlink>
      <w:r w:rsidRPr="00195492">
        <w:rPr>
          <w:rFonts w:cs="Arial"/>
          <w:szCs w:val="16"/>
          <w:lang w:val="en-GB"/>
        </w:rPr>
        <w:t xml:space="preserve"> (Hennessy</w:t>
      </w:r>
      <w:r w:rsidRPr="00195492">
        <w:rPr>
          <w:rFonts w:cs="Arial"/>
          <w:i/>
          <w:iCs/>
          <w:szCs w:val="16"/>
          <w:lang w:val="en-GB"/>
        </w:rPr>
        <w:t xml:space="preserve"> v </w:t>
      </w:r>
      <w:r w:rsidRPr="00195492">
        <w:rPr>
          <w:rFonts w:cs="Arial"/>
          <w:szCs w:val="16"/>
          <w:lang w:val="en-GB"/>
        </w:rPr>
        <w:t>Cedric Art).</w:t>
      </w:r>
    </w:p>
  </w:footnote>
  <w:footnote w:id="16">
    <w:p w14:paraId="3574F712" w14:textId="77777777" w:rsidR="00514066" w:rsidRPr="002E2FA7" w:rsidRDefault="00514066" w:rsidP="00514066">
      <w:pPr>
        <w:pStyle w:val="FootnoteText"/>
        <w:rPr>
          <w:rFonts w:cs="Arial"/>
          <w:szCs w:val="16"/>
          <w:lang w:val="en-GB"/>
        </w:rPr>
      </w:pPr>
      <w:r w:rsidRPr="003445B6">
        <w:rPr>
          <w:rStyle w:val="FootnoteReference"/>
          <w:rFonts w:cs="Arial"/>
          <w:szCs w:val="16"/>
        </w:rPr>
        <w:footnoteRef/>
      </w:r>
      <w:r w:rsidRPr="00195492">
        <w:rPr>
          <w:rFonts w:cs="Arial"/>
          <w:szCs w:val="16"/>
          <w:lang w:val="en-GB"/>
        </w:rPr>
        <w:t xml:space="preserve"> </w:t>
      </w:r>
      <w:hyperlink r:id="rId14" w:history="1">
        <w:r w:rsidRPr="00195492">
          <w:rPr>
            <w:rStyle w:val="Hyperlink"/>
            <w:rFonts w:cs="Arial"/>
            <w:szCs w:val="16"/>
            <w:lang w:val="en-GB"/>
          </w:rPr>
          <w:t xml:space="preserve">D. Visser, 'Merk in </w:t>
        </w:r>
        <w:proofErr w:type="spellStart"/>
        <w:r w:rsidRPr="00195492">
          <w:rPr>
            <w:rStyle w:val="Hyperlink"/>
            <w:rFonts w:cs="Arial"/>
            <w:szCs w:val="16"/>
            <w:lang w:val="en-GB"/>
          </w:rPr>
          <w:t>kunstwerk</w:t>
        </w:r>
        <w:proofErr w:type="spellEnd"/>
        <w:r w:rsidRPr="00195492">
          <w:rPr>
            <w:rStyle w:val="Hyperlink"/>
            <w:rFonts w:cs="Arial"/>
            <w:szCs w:val="16"/>
            <w:lang w:val="en-GB"/>
          </w:rPr>
          <w:t xml:space="preserve"> mag', </w:t>
        </w:r>
        <w:r w:rsidRPr="00195492">
          <w:rPr>
            <w:rStyle w:val="Hyperlink"/>
            <w:rFonts w:cs="Arial"/>
            <w:i/>
            <w:iCs/>
            <w:szCs w:val="16"/>
            <w:lang w:val="en-GB"/>
          </w:rPr>
          <w:t xml:space="preserve">mr. </w:t>
        </w:r>
        <w:r w:rsidRPr="002E2FA7">
          <w:rPr>
            <w:rStyle w:val="Hyperlink"/>
            <w:rFonts w:cs="Arial"/>
            <w:i/>
            <w:iCs/>
            <w:szCs w:val="16"/>
            <w:lang w:val="en-GB"/>
          </w:rPr>
          <w:t xml:space="preserve">Online 2019. </w:t>
        </w:r>
      </w:hyperlink>
      <w:r w:rsidRPr="002E2FA7">
        <w:rPr>
          <w:rFonts w:cs="Arial"/>
          <w:szCs w:val="16"/>
          <w:lang w:val="en-GB"/>
        </w:rPr>
        <w:t xml:space="preserve"> </w:t>
      </w:r>
    </w:p>
  </w:footnote>
  <w:footnote w:id="17">
    <w:p w14:paraId="633732C5" w14:textId="77777777" w:rsidR="00514066" w:rsidRPr="00696977" w:rsidRDefault="00514066" w:rsidP="00514066">
      <w:pPr>
        <w:pStyle w:val="FootnoteText"/>
        <w:rPr>
          <w:lang w:val="en-GB"/>
        </w:rPr>
      </w:pPr>
      <w:r>
        <w:rPr>
          <w:rStyle w:val="FootnoteReference"/>
        </w:rPr>
        <w:footnoteRef/>
      </w:r>
      <w:r w:rsidRPr="00AD2ED3">
        <w:rPr>
          <w:lang w:val="en-GB"/>
        </w:rPr>
        <w:t xml:space="preserve"> </w:t>
      </w:r>
      <w:hyperlink r:id="rId15" w:history="1">
        <w:r w:rsidRPr="00D611CE">
          <w:rPr>
            <w:rStyle w:val="Hyperlink"/>
            <w:lang w:val="en-GB"/>
          </w:rPr>
          <w:t>M. Senftleben, ''Robustness Check: Evaluating and Strengthening Artistic Use Defences in EU Trademark Law',</w:t>
        </w:r>
        <w:r w:rsidRPr="00D611CE">
          <w:rPr>
            <w:rStyle w:val="Hyperlink"/>
            <w:rFonts w:ascii="Segoe UI" w:hAnsi="Segoe UI" w:cs="Segoe UI"/>
            <w:szCs w:val="22"/>
            <w:shd w:val="clear" w:color="auto" w:fill="FCFCFC"/>
            <w:lang w:val="en-GB"/>
          </w:rPr>
          <w:t xml:space="preserve"> </w:t>
        </w:r>
        <w:r w:rsidRPr="00D611CE">
          <w:rPr>
            <w:rStyle w:val="Hyperlink"/>
            <w:lang w:val="en-GB"/>
          </w:rPr>
          <w:t> </w:t>
        </w:r>
        <w:r w:rsidRPr="00D611CE">
          <w:rPr>
            <w:rStyle w:val="Hyperlink"/>
            <w:i/>
            <w:iCs/>
            <w:lang w:val="en-GB"/>
          </w:rPr>
          <w:t xml:space="preserve">IIC, </w:t>
        </w:r>
        <w:r w:rsidRPr="00D611CE">
          <w:rPr>
            <w:rStyle w:val="Hyperlink"/>
            <w:lang w:val="en-GB"/>
          </w:rPr>
          <w:t>issue 53</w:t>
        </w:r>
      </w:hyperlink>
      <w:r>
        <w:rPr>
          <w:lang w:val="en-GB"/>
        </w:rPr>
        <w:t>.</w:t>
      </w:r>
    </w:p>
  </w:footnote>
  <w:footnote w:id="18">
    <w:p w14:paraId="57A3A979" w14:textId="77777777" w:rsidR="00514066" w:rsidRPr="00836B83" w:rsidRDefault="00514066" w:rsidP="00514066">
      <w:pPr>
        <w:pStyle w:val="FootnoteText"/>
        <w:rPr>
          <w:lang w:val="en-GB"/>
        </w:rPr>
      </w:pPr>
      <w:r>
        <w:rPr>
          <w:rStyle w:val="FootnoteReference"/>
        </w:rPr>
        <w:footnoteRef/>
      </w:r>
      <w:r w:rsidRPr="00D729A7">
        <w:rPr>
          <w:lang w:val="en-GB"/>
        </w:rPr>
        <w:t xml:space="preserve"> </w:t>
      </w:r>
      <w:r>
        <w:rPr>
          <w:lang w:val="en-GB"/>
        </w:rPr>
        <w:t xml:space="preserve">See for a more conservative view on this matter: </w:t>
      </w:r>
      <w:hyperlink r:id="rId16" w:history="1">
        <w:r w:rsidRPr="007469BA">
          <w:rPr>
            <w:rStyle w:val="Hyperlink"/>
            <w:lang w:val="en-GB"/>
          </w:rPr>
          <w:t xml:space="preserve">O.O. </w:t>
        </w:r>
        <w:proofErr w:type="spellStart"/>
        <w:r w:rsidRPr="007469BA">
          <w:rPr>
            <w:rStyle w:val="Hyperlink"/>
            <w:lang w:val="en-GB"/>
          </w:rPr>
          <w:t>Cherednychenko</w:t>
        </w:r>
        <w:proofErr w:type="spellEnd"/>
        <w:r w:rsidRPr="007469BA">
          <w:rPr>
            <w:rStyle w:val="Hyperlink"/>
            <w:lang w:val="en-GB"/>
          </w:rPr>
          <w:t xml:space="preserve"> &amp; N. Reich, </w:t>
        </w:r>
        <w:r w:rsidRPr="007469BA">
          <w:rPr>
            <w:rStyle w:val="Hyperlink"/>
            <w:i/>
            <w:iCs/>
            <w:lang w:val="en-GB"/>
          </w:rPr>
          <w:t xml:space="preserve">The </w:t>
        </w:r>
        <w:proofErr w:type="spellStart"/>
        <w:r w:rsidRPr="007469BA">
          <w:rPr>
            <w:rStyle w:val="Hyperlink"/>
            <w:i/>
            <w:iCs/>
            <w:lang w:val="en-GB"/>
          </w:rPr>
          <w:t>Constitutionalization</w:t>
        </w:r>
        <w:proofErr w:type="spellEnd"/>
        <w:r w:rsidRPr="007469BA">
          <w:rPr>
            <w:rStyle w:val="Hyperlink"/>
            <w:i/>
            <w:iCs/>
            <w:lang w:val="en-GB"/>
          </w:rPr>
          <w:t xml:space="preserve"> of European Private Law: Gateways, Constraints, and Challenges</w:t>
        </w:r>
        <w:r w:rsidRPr="007469BA">
          <w:rPr>
            <w:rStyle w:val="Hyperlink"/>
            <w:lang w:val="en-GB"/>
          </w:rPr>
          <w:t xml:space="preserve">, Alphen </w:t>
        </w:r>
        <w:proofErr w:type="spellStart"/>
        <w:r w:rsidRPr="007469BA">
          <w:rPr>
            <w:rStyle w:val="Hyperlink"/>
            <w:lang w:val="en-GB"/>
          </w:rPr>
          <w:t>aan</w:t>
        </w:r>
        <w:proofErr w:type="spellEnd"/>
        <w:r w:rsidRPr="007469BA">
          <w:rPr>
            <w:rStyle w:val="Hyperlink"/>
            <w:lang w:val="en-GB"/>
          </w:rPr>
          <w:t xml:space="preserve"> den Rijn: Kluwer Law International 2015.</w:t>
        </w:r>
      </w:hyperlink>
      <w:r>
        <w:rPr>
          <w:lang w:val="en-GB"/>
        </w:rPr>
        <w:t xml:space="preserve">  </w:t>
      </w:r>
    </w:p>
  </w:footnote>
  <w:footnote w:id="19">
    <w:p w14:paraId="3CA9751A" w14:textId="77777777" w:rsidR="00514066" w:rsidRPr="008713BA" w:rsidRDefault="00514066" w:rsidP="00514066">
      <w:pPr>
        <w:pStyle w:val="FootnoteText"/>
        <w:rPr>
          <w:lang w:val="en-US"/>
        </w:rPr>
      </w:pPr>
      <w:r>
        <w:rPr>
          <w:rStyle w:val="FootnoteReference"/>
        </w:rPr>
        <w:footnoteRef/>
      </w:r>
      <w:r w:rsidRPr="008713BA">
        <w:rPr>
          <w:lang w:val="en-GB"/>
        </w:rPr>
        <w:t xml:space="preserve"> </w:t>
      </w:r>
      <w:r>
        <w:rPr>
          <w:lang w:val="en-GB"/>
        </w:rPr>
        <w:t>U</w:t>
      </w:r>
      <w:r w:rsidRPr="007356F5">
        <w:rPr>
          <w:lang w:val="en-GB"/>
        </w:rPr>
        <w:t xml:space="preserve">nited </w:t>
      </w:r>
      <w:r>
        <w:rPr>
          <w:lang w:val="en-GB"/>
        </w:rPr>
        <w:t>S</w:t>
      </w:r>
      <w:r w:rsidRPr="007356F5">
        <w:rPr>
          <w:lang w:val="en-GB"/>
        </w:rPr>
        <w:t xml:space="preserve">tates </w:t>
      </w:r>
      <w:r>
        <w:rPr>
          <w:lang w:val="en-GB"/>
        </w:rPr>
        <w:t>D</w:t>
      </w:r>
      <w:r w:rsidRPr="007356F5">
        <w:rPr>
          <w:lang w:val="en-GB"/>
        </w:rPr>
        <w:t xml:space="preserve">istrict </w:t>
      </w:r>
      <w:r>
        <w:rPr>
          <w:lang w:val="en-GB"/>
        </w:rPr>
        <w:t>C</w:t>
      </w:r>
      <w:r w:rsidRPr="007356F5">
        <w:rPr>
          <w:lang w:val="en-GB"/>
        </w:rPr>
        <w:t>ourt</w:t>
      </w:r>
      <w:r>
        <w:rPr>
          <w:lang w:val="en-GB"/>
        </w:rPr>
        <w:t>:</w:t>
      </w:r>
      <w:r w:rsidRPr="007356F5">
        <w:rPr>
          <w:lang w:val="en-GB"/>
        </w:rPr>
        <w:t xml:space="preserve"> </w:t>
      </w:r>
      <w:r>
        <w:rPr>
          <w:lang w:val="en-GB"/>
        </w:rPr>
        <w:t>E</w:t>
      </w:r>
      <w:r w:rsidRPr="007356F5">
        <w:rPr>
          <w:lang w:val="en-GB"/>
        </w:rPr>
        <w:t xml:space="preserve">astern </w:t>
      </w:r>
      <w:r>
        <w:rPr>
          <w:lang w:val="en-GB"/>
        </w:rPr>
        <w:t>D</w:t>
      </w:r>
      <w:r w:rsidRPr="007356F5">
        <w:rPr>
          <w:lang w:val="en-GB"/>
        </w:rPr>
        <w:t xml:space="preserve">istrict of </w:t>
      </w:r>
      <w:r>
        <w:rPr>
          <w:lang w:val="en-GB"/>
        </w:rPr>
        <w:t>N</w:t>
      </w:r>
      <w:r w:rsidRPr="007356F5">
        <w:rPr>
          <w:lang w:val="en-GB"/>
        </w:rPr>
        <w:t xml:space="preserve">ew </w:t>
      </w:r>
      <w:r>
        <w:rPr>
          <w:lang w:val="en-GB"/>
        </w:rPr>
        <w:t>Y</w:t>
      </w:r>
      <w:r w:rsidRPr="007356F5">
        <w:rPr>
          <w:lang w:val="en-GB"/>
        </w:rPr>
        <w:t>ork</w:t>
      </w:r>
      <w:hyperlink r:id="rId17" w:history="1">
        <w:r>
          <w:rPr>
            <w:rStyle w:val="Hyperlink"/>
            <w:lang w:val="en-GB"/>
          </w:rPr>
          <w:t xml:space="preserve"> 29 </w:t>
        </w:r>
        <w:proofErr w:type="spellStart"/>
        <w:r>
          <w:rPr>
            <w:rStyle w:val="Hyperlink"/>
            <w:lang w:val="en-GB"/>
          </w:rPr>
          <w:t>maart</w:t>
        </w:r>
        <w:proofErr w:type="spellEnd"/>
        <w:r>
          <w:rPr>
            <w:rStyle w:val="Hyperlink"/>
            <w:lang w:val="en-GB"/>
          </w:rPr>
          <w:t xml:space="preserve"> 2021,</w:t>
        </w:r>
        <w:r w:rsidRPr="004913C2">
          <w:rPr>
            <w:rStyle w:val="Hyperlink"/>
            <w:lang w:val="en-GB"/>
          </w:rPr>
          <w:t xml:space="preserve"> Case 1:21-cv-01679-EK-PK </w:t>
        </w:r>
      </w:hyperlink>
      <w:r w:rsidRPr="004913C2">
        <w:rPr>
          <w:lang w:val="en-GB"/>
        </w:rPr>
        <w:t xml:space="preserve"> </w:t>
      </w:r>
      <w:r>
        <w:rPr>
          <w:lang w:val="en-GB"/>
        </w:rPr>
        <w:t>(</w:t>
      </w:r>
      <w:r w:rsidRPr="00A1300B">
        <w:rPr>
          <w:i/>
          <w:iCs/>
          <w:lang w:val="en-GB"/>
        </w:rPr>
        <w:t>NIKE v. MSCHF</w:t>
      </w:r>
      <w:r>
        <w:rPr>
          <w:lang w:val="en-GB"/>
        </w:rPr>
        <w:t>).</w:t>
      </w:r>
    </w:p>
  </w:footnote>
  <w:footnote w:id="20">
    <w:p w14:paraId="4BFE40BC" w14:textId="12F8BA44" w:rsidR="00514066" w:rsidRPr="00B020AB" w:rsidRDefault="00514066" w:rsidP="00514066">
      <w:pPr>
        <w:pStyle w:val="FootnoteText"/>
        <w:jc w:val="left"/>
        <w:rPr>
          <w:b/>
          <w:bCs/>
          <w:color w:val="0563C1" w:themeColor="hyperlink"/>
          <w:szCs w:val="16"/>
          <w:u w:val="single"/>
          <w:lang w:val="en-GB"/>
        </w:rPr>
      </w:pPr>
      <w:r w:rsidRPr="003445B6">
        <w:rPr>
          <w:rStyle w:val="FootnoteReference"/>
          <w:rFonts w:cs="Arial"/>
          <w:szCs w:val="16"/>
        </w:rPr>
        <w:footnoteRef/>
      </w:r>
      <w:r w:rsidRPr="003445B6">
        <w:rPr>
          <w:rFonts w:cs="Arial"/>
          <w:szCs w:val="16"/>
          <w:lang w:val="en-GB"/>
        </w:rPr>
        <w:t xml:space="preserve"> </w:t>
      </w:r>
      <w:hyperlink r:id="rId18" w:history="1">
        <w:r w:rsidRPr="00DE7489">
          <w:rPr>
            <w:rStyle w:val="Hyperlink"/>
            <w:rFonts w:cs="Arial"/>
            <w:szCs w:val="16"/>
            <w:lang w:val="en-GB"/>
          </w:rPr>
          <w:t>Dallas Coun</w:t>
        </w:r>
        <w:r w:rsidR="007F6F0A">
          <w:rPr>
            <w:rStyle w:val="Hyperlink"/>
            <w:rFonts w:cs="Arial"/>
            <w:szCs w:val="16"/>
            <w:lang w:val="en-GB"/>
          </w:rPr>
          <w:t>s</w:t>
        </w:r>
        <w:r w:rsidRPr="00DE7489">
          <w:rPr>
            <w:rStyle w:val="Hyperlink"/>
            <w:rFonts w:cs="Arial"/>
            <w:szCs w:val="16"/>
            <w:lang w:val="en-GB"/>
          </w:rPr>
          <w:t>el, '</w:t>
        </w:r>
        <w:r w:rsidRPr="00DE7489">
          <w:rPr>
            <w:rStyle w:val="Hyperlink"/>
            <w:szCs w:val="16"/>
            <w:lang w:val="en-GB"/>
          </w:rPr>
          <w:t>Nike Inc. v. MSCHF: A Trademark Suit of Biblical Proportions</w:t>
        </w:r>
        <w:r w:rsidRPr="00DE7489">
          <w:rPr>
            <w:rStyle w:val="Hyperlink"/>
            <w:rFonts w:cs="Arial"/>
            <w:szCs w:val="16"/>
            <w:lang w:val="en-GB"/>
          </w:rPr>
          <w:t>', dallascounsel.com 2022.</w:t>
        </w:r>
      </w:hyperlink>
    </w:p>
  </w:footnote>
  <w:footnote w:id="21">
    <w:p w14:paraId="7406416A" w14:textId="77777777" w:rsidR="00514066" w:rsidRPr="00A4032C" w:rsidRDefault="00514066" w:rsidP="00514066">
      <w:pPr>
        <w:pStyle w:val="FootnoteText"/>
        <w:rPr>
          <w:rFonts w:cs="Arial"/>
          <w:szCs w:val="16"/>
          <w:lang w:val="en-GB"/>
        </w:rPr>
      </w:pPr>
      <w:r w:rsidRPr="003445B6">
        <w:rPr>
          <w:rStyle w:val="FootnoteReference"/>
          <w:rFonts w:cs="Arial"/>
          <w:szCs w:val="16"/>
        </w:rPr>
        <w:footnoteRef/>
      </w:r>
      <w:r w:rsidRPr="00A4032C">
        <w:rPr>
          <w:rFonts w:cs="Arial"/>
          <w:szCs w:val="16"/>
          <w:lang w:val="en-GB"/>
        </w:rPr>
        <w:t xml:space="preserve"> </w:t>
      </w:r>
      <w:r w:rsidRPr="00A4032C">
        <w:rPr>
          <w:rFonts w:cs="Arial"/>
          <w:color w:val="232323"/>
          <w:szCs w:val="16"/>
          <w:lang w:val="en-GB"/>
        </w:rPr>
        <w:t xml:space="preserve">HR 5 January 2018, </w:t>
      </w:r>
      <w:hyperlink r:id="rId19" w:anchor="!/details?id=ECLI:NL:HR:2018:10&amp;showbutton=true" w:history="1">
        <w:r w:rsidRPr="00A4032C">
          <w:rPr>
            <w:rStyle w:val="Hyperlink"/>
            <w:rFonts w:cs="Arial"/>
            <w:szCs w:val="16"/>
            <w:lang w:val="en-GB"/>
          </w:rPr>
          <w:t>ECLI:NL:HR:2018:10</w:t>
        </w:r>
      </w:hyperlink>
      <w:r w:rsidRPr="00A4032C">
        <w:rPr>
          <w:rFonts w:cs="Arial"/>
          <w:color w:val="232323"/>
          <w:szCs w:val="16"/>
          <w:lang w:val="en-GB"/>
        </w:rPr>
        <w:t xml:space="preserve">, </w:t>
      </w:r>
      <w:proofErr w:type="spellStart"/>
      <w:r w:rsidRPr="00A4032C">
        <w:rPr>
          <w:rFonts w:cs="Arial"/>
          <w:color w:val="232323"/>
          <w:szCs w:val="16"/>
          <w:lang w:val="en-GB"/>
        </w:rPr>
        <w:t>m.nt</w:t>
      </w:r>
      <w:proofErr w:type="spellEnd"/>
      <w:r w:rsidRPr="00A4032C">
        <w:rPr>
          <w:rFonts w:cs="Arial"/>
          <w:color w:val="232323"/>
          <w:szCs w:val="16"/>
          <w:lang w:val="en-GB"/>
        </w:rPr>
        <w:t>. D.W.F. Verkade</w:t>
      </w:r>
    </w:p>
  </w:footnote>
  <w:footnote w:id="22">
    <w:p w14:paraId="2F086689" w14:textId="77777777" w:rsidR="00514066" w:rsidRPr="00574CEC" w:rsidRDefault="00514066" w:rsidP="00514066">
      <w:pPr>
        <w:pStyle w:val="FootnoteText"/>
        <w:rPr>
          <w:rFonts w:cs="Arial"/>
          <w:szCs w:val="16"/>
          <w:lang w:val="en-GB"/>
        </w:rPr>
      </w:pPr>
      <w:r w:rsidRPr="003445B6">
        <w:rPr>
          <w:rStyle w:val="FootnoteReference"/>
          <w:rFonts w:cs="Arial"/>
          <w:szCs w:val="16"/>
        </w:rPr>
        <w:footnoteRef/>
      </w:r>
      <w:r w:rsidRPr="00574CEC">
        <w:rPr>
          <w:rFonts w:cs="Arial"/>
          <w:szCs w:val="16"/>
          <w:lang w:val="en-GB"/>
        </w:rPr>
        <w:t xml:space="preserve"> Conclusion </w:t>
      </w:r>
      <w:r>
        <w:rPr>
          <w:rFonts w:cs="Arial"/>
          <w:szCs w:val="16"/>
          <w:lang w:val="en-GB"/>
        </w:rPr>
        <w:t xml:space="preserve">AG </w:t>
      </w:r>
      <w:r w:rsidRPr="00574CEC">
        <w:rPr>
          <w:rFonts w:cs="Arial"/>
          <w:szCs w:val="16"/>
          <w:lang w:val="en-GB"/>
        </w:rPr>
        <w:t xml:space="preserve">12 </w:t>
      </w:r>
      <w:r>
        <w:rPr>
          <w:rFonts w:cs="Arial"/>
          <w:szCs w:val="16"/>
          <w:lang w:val="en-GB"/>
        </w:rPr>
        <w:t>May</w:t>
      </w:r>
      <w:r w:rsidRPr="00574CEC">
        <w:rPr>
          <w:rFonts w:cs="Arial"/>
          <w:szCs w:val="16"/>
          <w:lang w:val="en-GB"/>
        </w:rPr>
        <w:t xml:space="preserve"> 2022</w:t>
      </w:r>
      <w:r>
        <w:rPr>
          <w:rFonts w:cs="Arial"/>
          <w:szCs w:val="16"/>
          <w:lang w:val="en-GB"/>
        </w:rPr>
        <w:t>,</w:t>
      </w:r>
      <w:r w:rsidRPr="00574CEC">
        <w:rPr>
          <w:rFonts w:cs="Arial"/>
          <w:szCs w:val="16"/>
          <w:lang w:val="en-GB"/>
        </w:rPr>
        <w:t xml:space="preserve"> </w:t>
      </w:r>
      <w:hyperlink r:id="rId20" w:history="1">
        <w:r w:rsidRPr="00A4032C">
          <w:rPr>
            <w:rStyle w:val="Hyperlink"/>
            <w:rFonts w:cs="Arial"/>
            <w:szCs w:val="16"/>
            <w:lang w:val="en-GB"/>
          </w:rPr>
          <w:t>C-197/21,</w:t>
        </w:r>
        <w:r w:rsidRPr="00A4032C">
          <w:rPr>
            <w:rStyle w:val="Hyperlink"/>
            <w:rFonts w:ascii="Open Sans" w:hAnsi="Open Sans" w:cs="Open Sans"/>
            <w:sz w:val="18"/>
            <w:szCs w:val="18"/>
            <w:lang w:val="en-GB"/>
          </w:rPr>
          <w:t xml:space="preserve"> </w:t>
        </w:r>
        <w:r w:rsidRPr="00A4032C">
          <w:rPr>
            <w:rStyle w:val="Hyperlink"/>
            <w:rFonts w:cs="Arial"/>
            <w:szCs w:val="16"/>
            <w:lang w:val="en-GB"/>
          </w:rPr>
          <w:t>ECLI:EU:C:2022:834</w:t>
        </w:r>
      </w:hyperlink>
      <w:r w:rsidRPr="00DC1C82">
        <w:rPr>
          <w:rFonts w:cs="Arial"/>
          <w:szCs w:val="16"/>
          <w:lang w:val="en-GB"/>
        </w:rPr>
        <w:t xml:space="preserve"> </w:t>
      </w:r>
      <w:r w:rsidRPr="00574CEC">
        <w:rPr>
          <w:rFonts w:cs="Arial"/>
          <w:szCs w:val="16"/>
          <w:lang w:val="en-GB"/>
        </w:rPr>
        <w:t>(</w:t>
      </w:r>
      <w:proofErr w:type="spellStart"/>
      <w:r w:rsidRPr="00B127A3">
        <w:rPr>
          <w:rFonts w:cs="Arial"/>
          <w:i/>
          <w:iCs/>
          <w:szCs w:val="16"/>
          <w:lang w:val="en-GB"/>
        </w:rPr>
        <w:t>Sodastream</w:t>
      </w:r>
      <w:proofErr w:type="spellEnd"/>
      <w:r w:rsidRPr="00B127A3">
        <w:rPr>
          <w:rFonts w:cs="Arial"/>
          <w:i/>
          <w:iCs/>
          <w:szCs w:val="16"/>
          <w:lang w:val="en-GB"/>
        </w:rPr>
        <w:t xml:space="preserve"> v </w:t>
      </w:r>
      <w:proofErr w:type="spellStart"/>
      <w:r w:rsidRPr="00B127A3">
        <w:rPr>
          <w:rFonts w:cs="Arial"/>
          <w:i/>
          <w:iCs/>
          <w:szCs w:val="16"/>
          <w:lang w:val="en-GB"/>
        </w:rPr>
        <w:t>MySoda</w:t>
      </w:r>
      <w:proofErr w:type="spellEnd"/>
      <w:r w:rsidRPr="00574CEC">
        <w:rPr>
          <w:rFonts w:cs="Arial"/>
          <w:szCs w:val="16"/>
          <w:lang w:val="en-GB"/>
        </w:rPr>
        <w:t>)</w:t>
      </w:r>
      <w:r>
        <w:rPr>
          <w:rFonts w:cs="Arial"/>
          <w:szCs w:val="16"/>
          <w:lang w:val="en-GB"/>
        </w:rPr>
        <w:t>.</w:t>
      </w:r>
      <w:r w:rsidRPr="00574CEC">
        <w:rPr>
          <w:rFonts w:cs="Arial"/>
          <w:szCs w:val="16"/>
          <w:lang w:val="en-GB"/>
        </w:rPr>
        <w:t xml:space="preserve"> </w:t>
      </w:r>
    </w:p>
  </w:footnote>
  <w:footnote w:id="23">
    <w:p w14:paraId="70526651" w14:textId="77777777" w:rsidR="00514066" w:rsidRPr="00086E1B" w:rsidRDefault="00514066" w:rsidP="00514066">
      <w:pPr>
        <w:pStyle w:val="FootnoteText"/>
        <w:rPr>
          <w:lang w:val="en-GB"/>
        </w:rPr>
      </w:pPr>
      <w:r>
        <w:rPr>
          <w:rStyle w:val="FootnoteReference"/>
        </w:rPr>
        <w:footnoteRef/>
      </w:r>
      <w:r w:rsidRPr="00086E1B">
        <w:rPr>
          <w:lang w:val="en-GB"/>
        </w:rPr>
        <w:t xml:space="preserve"> </w:t>
      </w:r>
      <w:r>
        <w:rPr>
          <w:lang w:val="en-GB"/>
        </w:rPr>
        <w:t xml:space="preserve">ECJ 22 October 2022, </w:t>
      </w:r>
      <w:hyperlink r:id="rId21" w:history="1">
        <w:r w:rsidRPr="00DE7489">
          <w:rPr>
            <w:rStyle w:val="Hyperlink"/>
            <w:lang w:val="en-GB"/>
          </w:rPr>
          <w:t>C-197/21, ECLI:EU:C:2022:834</w:t>
        </w:r>
      </w:hyperlink>
      <w:r>
        <w:rPr>
          <w:lang w:val="en-GB"/>
        </w:rPr>
        <w:t xml:space="preserve"> </w:t>
      </w:r>
      <w:r w:rsidRPr="0033365F">
        <w:rPr>
          <w:lang w:val="en-GB"/>
        </w:rPr>
        <w:t>(</w:t>
      </w:r>
      <w:proofErr w:type="spellStart"/>
      <w:r w:rsidRPr="00B127A3">
        <w:rPr>
          <w:i/>
          <w:iCs/>
          <w:lang w:val="en-GB"/>
        </w:rPr>
        <w:t>Sodastream</w:t>
      </w:r>
      <w:proofErr w:type="spellEnd"/>
      <w:r w:rsidRPr="00B127A3">
        <w:rPr>
          <w:i/>
          <w:iCs/>
          <w:lang w:val="en-GB"/>
        </w:rPr>
        <w:t xml:space="preserve"> v </w:t>
      </w:r>
      <w:proofErr w:type="spellStart"/>
      <w:r w:rsidRPr="00B127A3">
        <w:rPr>
          <w:i/>
          <w:iCs/>
          <w:lang w:val="en-GB"/>
        </w:rPr>
        <w:t>MySoda</w:t>
      </w:r>
      <w:proofErr w:type="spellEnd"/>
      <w:r w:rsidRPr="0033365F">
        <w:rPr>
          <w:lang w:val="en-GB"/>
        </w:rPr>
        <w:t>)</w:t>
      </w:r>
      <w:r>
        <w:rPr>
          <w:lang w:val="en-GB"/>
        </w:rPr>
        <w:t>.</w:t>
      </w:r>
    </w:p>
  </w:footnote>
  <w:footnote w:id="24">
    <w:p w14:paraId="242C1562" w14:textId="77777777" w:rsidR="00514066" w:rsidRPr="003445B6" w:rsidRDefault="00514066" w:rsidP="00514066">
      <w:pPr>
        <w:pStyle w:val="FootnoteText"/>
        <w:rPr>
          <w:rFonts w:cs="Arial"/>
          <w:szCs w:val="16"/>
          <w:lang w:val="de-DE"/>
        </w:rPr>
      </w:pPr>
      <w:r w:rsidRPr="003445B6">
        <w:rPr>
          <w:rStyle w:val="FootnoteReference"/>
          <w:rFonts w:cs="Arial"/>
          <w:szCs w:val="16"/>
        </w:rPr>
        <w:footnoteRef/>
      </w:r>
      <w:r w:rsidRPr="003445B6">
        <w:rPr>
          <w:rFonts w:cs="Arial"/>
          <w:szCs w:val="16"/>
          <w:lang w:val="de-DE"/>
        </w:rPr>
        <w:t xml:space="preserve"> </w:t>
      </w:r>
      <w:r>
        <w:rPr>
          <w:rFonts w:cs="Arial"/>
          <w:szCs w:val="16"/>
          <w:lang w:val="de-DE"/>
        </w:rPr>
        <w:t>CJEU</w:t>
      </w:r>
      <w:r w:rsidRPr="003445B6">
        <w:rPr>
          <w:rFonts w:cs="Arial"/>
          <w:szCs w:val="16"/>
          <w:lang w:val="de-DE"/>
        </w:rPr>
        <w:t xml:space="preserve"> 17 </w:t>
      </w:r>
      <w:r>
        <w:rPr>
          <w:rFonts w:cs="Arial"/>
          <w:szCs w:val="16"/>
          <w:lang w:val="de-DE"/>
        </w:rPr>
        <w:t>May</w:t>
      </w:r>
      <w:r w:rsidRPr="003445B6">
        <w:rPr>
          <w:rFonts w:cs="Arial"/>
          <w:szCs w:val="16"/>
          <w:lang w:val="de-DE"/>
        </w:rPr>
        <w:t xml:space="preserve"> 2018, </w:t>
      </w:r>
      <w:hyperlink r:id="rId22" w:history="1">
        <w:r w:rsidRPr="00832110">
          <w:rPr>
            <w:rStyle w:val="Hyperlink"/>
            <w:rFonts w:cs="Arial"/>
            <w:szCs w:val="16"/>
            <w:lang w:val="de-DE"/>
          </w:rPr>
          <w:t xml:space="preserve">C-642/16, </w:t>
        </w:r>
        <w:r w:rsidRPr="00195492">
          <w:rPr>
            <w:rStyle w:val="Hyperlink"/>
            <w:rFonts w:cs="Arial"/>
            <w:szCs w:val="16"/>
            <w:lang w:val="de-DE"/>
          </w:rPr>
          <w:t>ECLI:EU:C:2018:322</w:t>
        </w:r>
      </w:hyperlink>
      <w:r w:rsidRPr="003445B6">
        <w:rPr>
          <w:rFonts w:cs="Arial"/>
          <w:szCs w:val="16"/>
          <w:lang w:val="de-DE"/>
        </w:rPr>
        <w:t xml:space="preserve"> (</w:t>
      </w:r>
      <w:r w:rsidRPr="003445B6">
        <w:rPr>
          <w:rFonts w:cs="Arial"/>
          <w:i/>
          <w:iCs/>
          <w:szCs w:val="16"/>
          <w:lang w:val="de-DE"/>
        </w:rPr>
        <w:t>Junek</w:t>
      </w:r>
      <w:r>
        <w:rPr>
          <w:rFonts w:cs="Arial"/>
          <w:i/>
          <w:iCs/>
          <w:szCs w:val="16"/>
          <w:lang w:val="de-DE"/>
        </w:rPr>
        <w:t xml:space="preserve"> v </w:t>
      </w:r>
      <w:proofErr w:type="spellStart"/>
      <w:r w:rsidRPr="003445B6">
        <w:rPr>
          <w:rFonts w:cs="Arial"/>
          <w:i/>
          <w:iCs/>
          <w:szCs w:val="16"/>
          <w:lang w:val="de-DE"/>
        </w:rPr>
        <w:t>Lohmann&amp;Rauscher</w:t>
      </w:r>
      <w:proofErr w:type="spellEnd"/>
      <w:r w:rsidRPr="003445B6">
        <w:rPr>
          <w:rFonts w:cs="Arial"/>
          <w:szCs w:val="16"/>
          <w:lang w:val="de-DE"/>
        </w:rPr>
        <w:t>).</w:t>
      </w:r>
    </w:p>
  </w:footnote>
  <w:footnote w:id="25">
    <w:p w14:paraId="4A3D1011" w14:textId="77777777" w:rsidR="00514066" w:rsidRPr="005F52D5" w:rsidRDefault="00514066" w:rsidP="00514066">
      <w:pPr>
        <w:pStyle w:val="FootnoteText"/>
        <w:rPr>
          <w:lang w:val="en-GB"/>
        </w:rPr>
      </w:pPr>
      <w:r>
        <w:rPr>
          <w:rStyle w:val="FootnoteReference"/>
        </w:rPr>
        <w:footnoteRef/>
      </w:r>
      <w:r w:rsidRPr="00195492">
        <w:rPr>
          <w:lang w:val="de-DE"/>
        </w:rPr>
        <w:t xml:space="preserve"> </w:t>
      </w:r>
      <w:r>
        <w:rPr>
          <w:lang w:val="de-DE"/>
        </w:rPr>
        <w:t>CJEU</w:t>
      </w:r>
      <w:r w:rsidRPr="007A23CF">
        <w:rPr>
          <w:lang w:val="de-DE"/>
        </w:rPr>
        <w:t xml:space="preserve"> 17 </w:t>
      </w:r>
      <w:r>
        <w:rPr>
          <w:lang w:val="de-DE"/>
        </w:rPr>
        <w:t>May</w:t>
      </w:r>
      <w:r w:rsidRPr="007A23CF">
        <w:rPr>
          <w:lang w:val="de-DE"/>
        </w:rPr>
        <w:t xml:space="preserve"> 2018, </w:t>
      </w:r>
      <w:hyperlink r:id="rId23" w:history="1">
        <w:r w:rsidRPr="00832110">
          <w:rPr>
            <w:rStyle w:val="Hyperlink"/>
            <w:lang w:val="de-DE"/>
          </w:rPr>
          <w:t>C-642/16</w:t>
        </w:r>
        <w:r w:rsidRPr="00195492">
          <w:rPr>
            <w:rStyle w:val="Hyperlink"/>
            <w:lang w:val="de-DE"/>
          </w:rPr>
          <w:t>, ECLI:EU:C:2018:322</w:t>
        </w:r>
      </w:hyperlink>
      <w:r w:rsidRPr="007A23CF">
        <w:rPr>
          <w:lang w:val="de-DE"/>
        </w:rPr>
        <w:t xml:space="preserve"> (</w:t>
      </w:r>
      <w:r w:rsidRPr="007A23CF">
        <w:rPr>
          <w:i/>
          <w:iCs/>
          <w:lang w:val="de-DE"/>
        </w:rPr>
        <w:t>Junek</w:t>
      </w:r>
      <w:r>
        <w:rPr>
          <w:i/>
          <w:iCs/>
          <w:lang w:val="de-DE"/>
        </w:rPr>
        <w:t xml:space="preserve"> v </w:t>
      </w:r>
      <w:proofErr w:type="spellStart"/>
      <w:r w:rsidRPr="007A23CF">
        <w:rPr>
          <w:i/>
          <w:iCs/>
          <w:lang w:val="de-DE"/>
        </w:rPr>
        <w:t>Lohmann&amp;Rauscher</w:t>
      </w:r>
      <w:proofErr w:type="spellEnd"/>
      <w:r w:rsidRPr="007A23CF">
        <w:rPr>
          <w:lang w:val="de-DE"/>
        </w:rPr>
        <w:t>)</w:t>
      </w:r>
      <w:r>
        <w:rPr>
          <w:lang w:val="de-DE"/>
        </w:rPr>
        <w:t xml:space="preserve">, </w:t>
      </w:r>
      <w:proofErr w:type="spellStart"/>
      <w:r>
        <w:rPr>
          <w:lang w:val="de-DE"/>
        </w:rPr>
        <w:t>para</w:t>
      </w:r>
      <w:proofErr w:type="spellEnd"/>
      <w:r>
        <w:rPr>
          <w:lang w:val="de-DE"/>
        </w:rPr>
        <w:t xml:space="preserve">. </w:t>
      </w:r>
      <w:r w:rsidRPr="005F52D5">
        <w:rPr>
          <w:lang w:val="en-GB"/>
        </w:rPr>
        <w:t>30-35</w:t>
      </w:r>
      <w:r w:rsidRPr="00195492">
        <w:rPr>
          <w:lang w:val="en-US"/>
        </w:rPr>
        <w:t>.</w:t>
      </w:r>
    </w:p>
  </w:footnote>
  <w:footnote w:id="26">
    <w:p w14:paraId="239E303F" w14:textId="77777777" w:rsidR="00514066" w:rsidRPr="00510B00" w:rsidRDefault="00514066" w:rsidP="00514066">
      <w:pPr>
        <w:pStyle w:val="FootnoteText"/>
        <w:rPr>
          <w:b/>
          <w:bCs/>
          <w:lang w:val="en-GB"/>
        </w:rPr>
      </w:pPr>
      <w:r w:rsidRPr="00510B00">
        <w:rPr>
          <w:rStyle w:val="FootnoteReference"/>
        </w:rPr>
        <w:footnoteRef/>
      </w:r>
      <w:r w:rsidRPr="00510B00">
        <w:rPr>
          <w:lang w:val="en-GB"/>
        </w:rPr>
        <w:t xml:space="preserve"> </w:t>
      </w:r>
      <w:r w:rsidRPr="00195492">
        <w:rPr>
          <w:lang w:val="en-US"/>
        </w:rPr>
        <w:t>CJEU</w:t>
      </w:r>
      <w:r w:rsidRPr="00510B00">
        <w:rPr>
          <w:lang w:val="en-GB"/>
        </w:rPr>
        <w:t xml:space="preserve"> 15 </w:t>
      </w:r>
      <w:r>
        <w:rPr>
          <w:lang w:val="en-GB"/>
        </w:rPr>
        <w:t>D</w:t>
      </w:r>
      <w:r w:rsidRPr="00510B00">
        <w:rPr>
          <w:lang w:val="en-GB"/>
        </w:rPr>
        <w:t xml:space="preserve">ecember 2022, </w:t>
      </w:r>
      <w:r>
        <w:rPr>
          <w:lang w:val="en-GB"/>
        </w:rPr>
        <w:t xml:space="preserve">joined cases </w:t>
      </w:r>
      <w:hyperlink r:id="rId24" w:history="1">
        <w:r w:rsidRPr="00E526C9">
          <w:rPr>
            <w:rStyle w:val="Hyperlink"/>
            <w:lang w:val="en-GB"/>
          </w:rPr>
          <w:t>C</w:t>
        </w:r>
        <w:r w:rsidRPr="00E526C9">
          <w:rPr>
            <w:rStyle w:val="Hyperlink"/>
            <w:lang w:val="en-GB"/>
          </w:rPr>
          <w:noBreakHyphen/>
          <w:t>181/21 and C</w:t>
        </w:r>
        <w:r w:rsidRPr="00E526C9">
          <w:rPr>
            <w:rStyle w:val="Hyperlink"/>
            <w:lang w:val="en-GB"/>
          </w:rPr>
          <w:noBreakHyphen/>
          <w:t>269/21, ECLI:EU:C:2022:990.</w:t>
        </w:r>
      </w:hyperlink>
    </w:p>
  </w:footnote>
  <w:footnote w:id="27">
    <w:p w14:paraId="06ADB316" w14:textId="77777777" w:rsidR="00514066" w:rsidRPr="002C7827" w:rsidRDefault="00514066" w:rsidP="00514066">
      <w:pPr>
        <w:pStyle w:val="FootnoteText"/>
      </w:pPr>
      <w:r>
        <w:rPr>
          <w:rStyle w:val="FootnoteReference"/>
        </w:rPr>
        <w:footnoteRef/>
      </w:r>
      <w:r w:rsidRPr="00195492">
        <w:rPr>
          <w:lang w:val="fr-FR"/>
        </w:rPr>
        <w:t xml:space="preserve"> CJEU 17 </w:t>
      </w:r>
      <w:proofErr w:type="spellStart"/>
      <w:r w:rsidRPr="00195492">
        <w:rPr>
          <w:lang w:val="fr-FR"/>
        </w:rPr>
        <w:t>November</w:t>
      </w:r>
      <w:proofErr w:type="spellEnd"/>
      <w:r w:rsidRPr="00195492">
        <w:rPr>
          <w:lang w:val="fr-FR"/>
        </w:rPr>
        <w:t xml:space="preserve"> 2022, </w:t>
      </w:r>
      <w:r w:rsidRPr="00195492">
        <w:rPr>
          <w:rFonts w:ascii="Open Sans" w:hAnsi="Open Sans" w:cs="Open Sans"/>
          <w:sz w:val="18"/>
          <w:szCs w:val="18"/>
          <w:lang w:val="fr-FR"/>
        </w:rPr>
        <w:t xml:space="preserve"> </w:t>
      </w:r>
      <w:hyperlink r:id="rId25" w:history="1">
        <w:r w:rsidRPr="00195492">
          <w:rPr>
            <w:rStyle w:val="Hyperlink"/>
            <w:rFonts w:cs="Arial"/>
            <w:szCs w:val="16"/>
            <w:lang w:val="fr-FR"/>
          </w:rPr>
          <w:t>Case C</w:t>
        </w:r>
        <w:r w:rsidRPr="00195492">
          <w:rPr>
            <w:rStyle w:val="Hyperlink"/>
            <w:rFonts w:ascii="Cambria Math" w:hAnsi="Cambria Math" w:cs="Cambria Math"/>
            <w:szCs w:val="16"/>
            <w:lang w:val="fr-FR"/>
          </w:rPr>
          <w:t>‑</w:t>
        </w:r>
        <w:r w:rsidRPr="00195492">
          <w:rPr>
            <w:rStyle w:val="Hyperlink"/>
            <w:rFonts w:cs="Arial"/>
            <w:szCs w:val="16"/>
            <w:lang w:val="fr-FR"/>
          </w:rPr>
          <w:t>224/20</w:t>
        </w:r>
        <w:r w:rsidRPr="00195492">
          <w:rPr>
            <w:rStyle w:val="Hyperlink"/>
            <w:rFonts w:ascii="Open Sans" w:hAnsi="Open Sans" w:cs="Open Sans"/>
            <w:sz w:val="18"/>
            <w:szCs w:val="18"/>
            <w:lang w:val="fr-FR"/>
          </w:rPr>
          <w:t xml:space="preserve"> </w:t>
        </w:r>
        <w:r w:rsidRPr="00195492">
          <w:rPr>
            <w:rStyle w:val="Hyperlink"/>
            <w:lang w:val="fr-FR"/>
          </w:rPr>
          <w:t>ECLI:EU:C:2022:893</w:t>
        </w:r>
      </w:hyperlink>
      <w:r w:rsidRPr="00195492">
        <w:rPr>
          <w:lang w:val="fr-FR"/>
        </w:rPr>
        <w:t xml:space="preserve">, para. </w:t>
      </w:r>
      <w:r w:rsidRPr="002C7827">
        <w:t>70</w:t>
      </w:r>
      <w:r>
        <w:t>.</w:t>
      </w:r>
      <w:r w:rsidRPr="002C7827">
        <w:t xml:space="preserve"> </w:t>
      </w:r>
    </w:p>
  </w:footnote>
  <w:footnote w:id="28">
    <w:p w14:paraId="50BC106F" w14:textId="77777777" w:rsidR="00514066" w:rsidRPr="00195492" w:rsidRDefault="00514066" w:rsidP="00514066">
      <w:pPr>
        <w:pStyle w:val="FootnoteText"/>
        <w:rPr>
          <w:rFonts w:cs="Arial"/>
          <w:szCs w:val="16"/>
        </w:rPr>
      </w:pPr>
      <w:r w:rsidRPr="003445B6">
        <w:rPr>
          <w:rStyle w:val="FootnoteReference"/>
          <w:rFonts w:cs="Arial"/>
          <w:szCs w:val="16"/>
        </w:rPr>
        <w:footnoteRef/>
      </w:r>
      <w:r w:rsidRPr="00195492">
        <w:rPr>
          <w:rFonts w:cs="Arial"/>
          <w:szCs w:val="16"/>
        </w:rPr>
        <w:t xml:space="preserve"> CJEU 25 </w:t>
      </w:r>
      <w:proofErr w:type="spellStart"/>
      <w:r w:rsidRPr="00195492">
        <w:rPr>
          <w:rFonts w:cs="Arial"/>
          <w:szCs w:val="16"/>
        </w:rPr>
        <w:t>July</w:t>
      </w:r>
      <w:proofErr w:type="spellEnd"/>
      <w:r w:rsidRPr="00195492">
        <w:rPr>
          <w:rFonts w:cs="Arial"/>
          <w:szCs w:val="16"/>
        </w:rPr>
        <w:t xml:space="preserve"> 2018, </w:t>
      </w:r>
      <w:hyperlink r:id="rId26" w:history="1">
        <w:r w:rsidRPr="00195492">
          <w:rPr>
            <w:rStyle w:val="Hyperlink"/>
            <w:rFonts w:cs="Arial"/>
            <w:szCs w:val="16"/>
          </w:rPr>
          <w:t>C-129/17 - ECLI:EU:C:2018:59</w:t>
        </w:r>
      </w:hyperlink>
      <w:r w:rsidRPr="00195492">
        <w:rPr>
          <w:rFonts w:cs="Arial"/>
          <w:szCs w:val="16"/>
        </w:rPr>
        <w:t>.</w:t>
      </w:r>
    </w:p>
  </w:footnote>
  <w:footnote w:id="29">
    <w:p w14:paraId="59CF4A10" w14:textId="77777777" w:rsidR="00514066" w:rsidRPr="00465025" w:rsidRDefault="00514066" w:rsidP="00514066">
      <w:pPr>
        <w:pStyle w:val="FootnoteText"/>
        <w:rPr>
          <w:color w:val="0563C1" w:themeColor="hyperlink"/>
          <w:u w:val="single"/>
        </w:rPr>
      </w:pPr>
      <w:r>
        <w:rPr>
          <w:rStyle w:val="FootnoteReference"/>
        </w:rPr>
        <w:footnoteRef/>
      </w:r>
      <w:r>
        <w:t xml:space="preserve"> </w:t>
      </w:r>
      <w:hyperlink r:id="rId27" w:history="1">
        <w:r w:rsidRPr="00465025">
          <w:rPr>
            <w:rStyle w:val="Hyperlink"/>
          </w:rPr>
          <w:t xml:space="preserve">A.M.E. Verschuur, ‘Kort Begrip van het intellectuele eigendomsrecht, 337 Gebruikshandelingen; art. 2.20 lid 2.a-c jo art. 2.20 lid 3 BVIE’, Deventer: </w:t>
        </w:r>
        <w:r w:rsidRPr="00465025">
          <w:rPr>
            <w:rStyle w:val="Hyperlink"/>
            <w:i/>
            <w:iCs/>
          </w:rPr>
          <w:t>Kluwer</w:t>
        </w:r>
        <w:r w:rsidRPr="00465025">
          <w:rPr>
            <w:rStyle w:val="Hyperlink"/>
          </w:rPr>
          <w:t xml:space="preserve"> 2022. </w:t>
        </w:r>
      </w:hyperlink>
    </w:p>
  </w:footnote>
  <w:footnote w:id="30">
    <w:p w14:paraId="18641847" w14:textId="0E3BA769" w:rsidR="0021263C" w:rsidRPr="0021263C" w:rsidRDefault="0021263C">
      <w:pPr>
        <w:pStyle w:val="FootnoteText"/>
      </w:pPr>
      <w:r>
        <w:rPr>
          <w:rStyle w:val="FootnoteReference"/>
        </w:rPr>
        <w:footnoteRef/>
      </w:r>
      <w:r w:rsidRPr="0021263C">
        <w:t xml:space="preserve"> M. </w:t>
      </w:r>
      <w:r w:rsidRPr="0021263C">
        <w:rPr>
          <w:rFonts w:cs="Arial"/>
          <w:szCs w:val="16"/>
        </w:rPr>
        <w:t xml:space="preserve">Bronneman, </w:t>
      </w:r>
      <w:bookmarkStart w:id="10" w:name="o538005"/>
      <w:r w:rsidRPr="0021263C">
        <w:rPr>
          <w:rFonts w:cs="Arial"/>
          <w:color w:val="0070C0"/>
          <w:szCs w:val="16"/>
          <w:u w:val="single"/>
        </w:rPr>
        <w:t>He</w:t>
      </w:r>
      <w:hyperlink r:id="rId28" w:anchor="a538005" w:history="1">
        <w:r w:rsidRPr="0021263C">
          <w:rPr>
            <w:rFonts w:eastAsiaTheme="minorHAnsi" w:cs="Arial"/>
            <w:color w:val="3377CC"/>
            <w:spacing w:val="0"/>
            <w:kern w:val="2"/>
            <w:szCs w:val="16"/>
            <w:u w:val="single"/>
            <w:shd w:val="clear" w:color="auto" w:fill="FFFFFF"/>
            <w14:ligatures w14:val="standardContextual"/>
          </w:rPr>
          <w:t>t recht van de merkhouder om de eerste verhandeling van zijn merkproducten in de EER te controleren − Een nieuwe inbreukgrond?, BIE 2022, afl. 4, p. 154</w:t>
        </w:r>
        <w:r w:rsidRPr="0021263C">
          <w:rPr>
            <w:rFonts w:ascii="LatoWeb" w:eastAsiaTheme="minorHAnsi" w:hAnsi="LatoWeb" w:cstheme="minorBidi"/>
            <w:color w:val="3377CC"/>
            <w:spacing w:val="0"/>
            <w:kern w:val="2"/>
            <w:sz w:val="23"/>
            <w:szCs w:val="23"/>
            <w:u w:val="single"/>
            <w:shd w:val="clear" w:color="auto" w:fill="FFFFFF"/>
            <w14:ligatures w14:val="standardContextual"/>
          </w:rPr>
          <w:t> </w:t>
        </w:r>
      </w:hyperlink>
      <w:bookmarkEnd w:id="10"/>
      <w:r>
        <w:rPr>
          <w:rFonts w:asciiTheme="minorHAnsi" w:eastAsiaTheme="minorHAnsi" w:hAnsiTheme="minorHAnsi" w:cstheme="minorBidi"/>
          <w:spacing w:val="0"/>
          <w:kern w:val="2"/>
          <w:sz w:val="22"/>
          <w:szCs w:val="22"/>
          <w14:ligatures w14:val="standardContextual"/>
        </w:rPr>
        <w:t>.</w:t>
      </w:r>
    </w:p>
  </w:footnote>
  <w:footnote w:id="31">
    <w:p w14:paraId="00593C8E" w14:textId="77777777" w:rsidR="00514066" w:rsidRPr="00D97E57" w:rsidRDefault="00514066" w:rsidP="00514066">
      <w:pPr>
        <w:pStyle w:val="FootnoteText"/>
        <w:rPr>
          <w:lang w:val="en-GB"/>
        </w:rPr>
      </w:pPr>
      <w:r>
        <w:rPr>
          <w:rStyle w:val="FootnoteReference"/>
        </w:rPr>
        <w:footnoteRef/>
      </w:r>
      <w:r w:rsidRPr="005B28A4">
        <w:rPr>
          <w:lang w:val="en-GB"/>
        </w:rPr>
        <w:t xml:space="preserve"> </w:t>
      </w:r>
      <w:hyperlink r:id="rId29" w:history="1">
        <w:r w:rsidRPr="00CC7AB7">
          <w:rPr>
            <w:rStyle w:val="Hyperlink"/>
            <w:lang w:val="en-GB"/>
          </w:rPr>
          <w:t xml:space="preserve">H.J. Koenraad &amp; D. </w:t>
        </w:r>
        <w:proofErr w:type="spellStart"/>
        <w:r w:rsidRPr="00CC7AB7">
          <w:rPr>
            <w:rStyle w:val="Hyperlink"/>
            <w:lang w:val="en-GB"/>
          </w:rPr>
          <w:t>Stols</w:t>
        </w:r>
        <w:proofErr w:type="spellEnd"/>
        <w:r w:rsidRPr="00CC7AB7">
          <w:rPr>
            <w:rStyle w:val="Hyperlink"/>
            <w:lang w:val="en-GB"/>
          </w:rPr>
          <w:t>, 'Surprise decision on EU goods in transit: a welcome boost for rights holders', WorldTrademarkReview.com 2019, p. 69.</w:t>
        </w:r>
      </w:hyperlink>
      <w:r>
        <w:rPr>
          <w:lang w:val="en-GB"/>
        </w:rPr>
        <w:t xml:space="preserve"> </w:t>
      </w:r>
    </w:p>
  </w:footnote>
  <w:footnote w:id="32">
    <w:p w14:paraId="7A74C6E9" w14:textId="77777777" w:rsidR="00514066" w:rsidRPr="00195492" w:rsidRDefault="00514066" w:rsidP="00514066">
      <w:pPr>
        <w:pStyle w:val="FootnoteText"/>
        <w:rPr>
          <w:b/>
          <w:bCs/>
          <w:lang w:val="en-GB"/>
        </w:rPr>
      </w:pPr>
      <w:r>
        <w:rPr>
          <w:rStyle w:val="FootnoteReference"/>
        </w:rPr>
        <w:footnoteRef/>
      </w:r>
      <w:r w:rsidRPr="00195492">
        <w:rPr>
          <w:lang w:val="en-GB"/>
        </w:rPr>
        <w:t xml:space="preserve"> Gerechtshof Den Haag 17 June 2022, </w:t>
      </w:r>
      <w:hyperlink r:id="rId30" w:anchor="!/details?id=ECLI:NL:GHDHA:2022:1289" w:history="1">
        <w:r w:rsidRPr="00195492">
          <w:rPr>
            <w:rStyle w:val="Hyperlink"/>
            <w:lang w:val="en-GB"/>
          </w:rPr>
          <w:t>ECLI:NL:GHDHA:2022:1289</w:t>
        </w:r>
      </w:hyperlink>
      <w:r w:rsidRPr="00195492">
        <w:rPr>
          <w:lang w:val="en-GB"/>
        </w:rPr>
        <w:t xml:space="preserve"> (</w:t>
      </w:r>
      <w:r w:rsidRPr="00195492">
        <w:rPr>
          <w:i/>
          <w:iCs/>
          <w:lang w:val="en-GB"/>
        </w:rPr>
        <w:t>Henessy v LB11</w:t>
      </w:r>
      <w:r w:rsidRPr="00195492">
        <w:rPr>
          <w:lang w:val="en-GB"/>
        </w:rPr>
        <w:t xml:space="preserve">). </w:t>
      </w:r>
    </w:p>
  </w:footnote>
  <w:footnote w:id="33">
    <w:p w14:paraId="6CFFC2BE" w14:textId="77777777" w:rsidR="00514066" w:rsidRPr="00AE44C8" w:rsidRDefault="00514066" w:rsidP="00514066">
      <w:pPr>
        <w:pStyle w:val="FootnoteText"/>
        <w:rPr>
          <w:lang w:val="en-GB"/>
        </w:rPr>
      </w:pPr>
      <w:r>
        <w:rPr>
          <w:rStyle w:val="FootnoteReference"/>
        </w:rPr>
        <w:footnoteRef/>
      </w:r>
      <w:r w:rsidRPr="00AE44C8">
        <w:rPr>
          <w:lang w:val="en-GB"/>
        </w:rPr>
        <w:t xml:space="preserve"> ECJ 20 </w:t>
      </w:r>
      <w:proofErr w:type="spellStart"/>
      <w:r w:rsidRPr="00AE44C8">
        <w:rPr>
          <w:lang w:val="en-GB"/>
        </w:rPr>
        <w:t>november</w:t>
      </w:r>
      <w:proofErr w:type="spellEnd"/>
      <w:r w:rsidRPr="00AE44C8">
        <w:rPr>
          <w:lang w:val="en-GB"/>
        </w:rPr>
        <w:t xml:space="preserve"> 2004, </w:t>
      </w:r>
      <w:hyperlink r:id="rId31" w:history="1">
        <w:r w:rsidRPr="00106FDA">
          <w:rPr>
            <w:rStyle w:val="Hyperlink"/>
            <w:lang w:val="en-GB"/>
          </w:rPr>
          <w:t>Case C-16/03, ECLI:EU:C:2004:759</w:t>
        </w:r>
      </w:hyperlink>
      <w:r>
        <w:rPr>
          <w:lang w:val="en-GB"/>
        </w:rPr>
        <w:t>.</w:t>
      </w:r>
    </w:p>
  </w:footnote>
  <w:footnote w:id="34">
    <w:p w14:paraId="2ADEE30B" w14:textId="1A8A42CD" w:rsidR="00514066" w:rsidRPr="00785130" w:rsidRDefault="00514066" w:rsidP="00514066">
      <w:pPr>
        <w:pStyle w:val="FootnoteText"/>
        <w:rPr>
          <w:lang w:val="en-GB"/>
        </w:rPr>
      </w:pPr>
      <w:r>
        <w:rPr>
          <w:rStyle w:val="FootnoteReference"/>
        </w:rPr>
        <w:footnoteRef/>
      </w:r>
      <w:r w:rsidRPr="00785130">
        <w:rPr>
          <w:lang w:val="en-GB"/>
        </w:rPr>
        <w:t xml:space="preserve"> </w:t>
      </w:r>
      <w:hyperlink r:id="rId32" w:history="1">
        <w:r w:rsidR="007F6F0A">
          <w:rPr>
            <w:rStyle w:val="Hyperlink"/>
            <w:lang w:val="en-GB"/>
          </w:rPr>
          <w:t>Opinion</w:t>
        </w:r>
        <w:r w:rsidRPr="006659A4">
          <w:rPr>
            <w:rStyle w:val="Hyperlink"/>
            <w:lang w:val="en-GB"/>
          </w:rPr>
          <w:t xml:space="preserve"> A</w:t>
        </w:r>
        <w:r w:rsidR="007F6F0A">
          <w:rPr>
            <w:rStyle w:val="Hyperlink"/>
            <w:lang w:val="en-GB"/>
          </w:rPr>
          <w:t>-</w:t>
        </w:r>
        <w:r w:rsidRPr="006659A4">
          <w:rPr>
            <w:rStyle w:val="Hyperlink"/>
            <w:lang w:val="en-GB"/>
          </w:rPr>
          <w:t>G 17 June 2022, ECLI:NL:GHDHA:2022:1289 (</w:t>
        </w:r>
      </w:hyperlink>
      <w:r w:rsidRPr="00785130">
        <w:rPr>
          <w:i/>
          <w:iCs/>
          <w:lang w:val="en-GB"/>
        </w:rPr>
        <w:t>Henessy v LB11</w:t>
      </w:r>
      <w:r w:rsidRPr="00785130">
        <w:rPr>
          <w:lang w:val="en-GB"/>
        </w:rPr>
        <w:t>).</w:t>
      </w:r>
    </w:p>
  </w:footnote>
  <w:footnote w:id="35">
    <w:p w14:paraId="43B8E5C0" w14:textId="77777777" w:rsidR="00514066" w:rsidRPr="003445B6" w:rsidRDefault="00514066" w:rsidP="00514066">
      <w:pPr>
        <w:pStyle w:val="FootnoteText"/>
        <w:rPr>
          <w:rFonts w:cs="Arial"/>
          <w:szCs w:val="16"/>
        </w:rPr>
      </w:pPr>
      <w:r w:rsidRPr="003445B6">
        <w:rPr>
          <w:rStyle w:val="FootnoteReference"/>
          <w:rFonts w:cs="Arial"/>
          <w:szCs w:val="16"/>
        </w:rPr>
        <w:footnoteRef/>
      </w:r>
      <w:r w:rsidRPr="003445B6">
        <w:rPr>
          <w:rFonts w:cs="Arial"/>
          <w:szCs w:val="16"/>
        </w:rPr>
        <w:t xml:space="preserve"> </w:t>
      </w:r>
      <w:hyperlink r:id="rId33" w:history="1">
        <w:r w:rsidRPr="003445B6">
          <w:rPr>
            <w:rStyle w:val="Hyperlink"/>
            <w:rFonts w:cs="Arial"/>
            <w:szCs w:val="16"/>
          </w:rPr>
          <w:t>W.J.H. Leppink &amp; A.I.P. Martens, 'Hennessy: een gemiste kans?', IER 2022/2, p. 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80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B03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302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806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CC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BE4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9C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AEB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9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8D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C62A9"/>
    <w:multiLevelType w:val="singleLevel"/>
    <w:tmpl w:val="6472F17A"/>
    <w:lvl w:ilvl="0">
      <w:start w:val="1"/>
      <w:numFmt w:val="decimal"/>
      <w:pStyle w:val="Standaard1"/>
      <w:suff w:val="nothing"/>
      <w:lvlText w:val=""/>
      <w:lvlJc w:val="left"/>
      <w:pPr>
        <w:tabs>
          <w:tab w:val="num" w:pos="0"/>
        </w:tabs>
        <w:ind w:left="0" w:firstLine="0"/>
      </w:pPr>
    </w:lvl>
  </w:abstractNum>
  <w:abstractNum w:abstractNumId="11" w15:restartNumberingAfterBreak="0">
    <w:nsid w:val="16932D1F"/>
    <w:multiLevelType w:val="hybridMultilevel"/>
    <w:tmpl w:val="A4DC38F4"/>
    <w:lvl w:ilvl="0" w:tplc="EEC829DE">
      <w:start w:val="1"/>
      <w:numFmt w:val="upp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217D7B64"/>
    <w:multiLevelType w:val="singleLevel"/>
    <w:tmpl w:val="05A01434"/>
    <w:name w:val="BrauwNr1"/>
    <w:lvl w:ilvl="0">
      <w:start w:val="1"/>
      <w:numFmt w:val="decimal"/>
      <w:pStyle w:val="Brauw1"/>
      <w:lvlText w:val="%1."/>
      <w:lvlJc w:val="left"/>
      <w:pPr>
        <w:tabs>
          <w:tab w:val="num" w:pos="709"/>
        </w:tabs>
        <w:ind w:left="709" w:hanging="709"/>
      </w:pPr>
    </w:lvl>
  </w:abstractNum>
  <w:abstractNum w:abstractNumId="13" w15:restartNumberingAfterBreak="0">
    <w:nsid w:val="22CD3E65"/>
    <w:multiLevelType w:val="singleLevel"/>
    <w:tmpl w:val="34109E54"/>
    <w:name w:val="BrauwNri"/>
    <w:lvl w:ilvl="0">
      <w:start w:val="1"/>
      <w:numFmt w:val="lowerRoman"/>
      <w:pStyle w:val="Brauwi"/>
      <w:lvlText w:val="(%1)"/>
      <w:lvlJc w:val="left"/>
      <w:pPr>
        <w:tabs>
          <w:tab w:val="num" w:pos="2127"/>
        </w:tabs>
        <w:ind w:left="2127" w:hanging="709"/>
      </w:pPr>
      <w:rPr>
        <w:rFonts w:hint="default"/>
      </w:rPr>
    </w:lvl>
  </w:abstractNum>
  <w:abstractNum w:abstractNumId="14" w15:restartNumberingAfterBreak="0">
    <w:nsid w:val="2E7B6FAB"/>
    <w:multiLevelType w:val="singleLevel"/>
    <w:tmpl w:val="8DA8DD36"/>
    <w:lvl w:ilvl="0">
      <w:start w:val="1"/>
      <w:numFmt w:val="none"/>
      <w:pStyle w:val="Brauwbullet"/>
      <w:lvlText w:val=""/>
      <w:lvlJc w:val="left"/>
      <w:pPr>
        <w:tabs>
          <w:tab w:val="num" w:pos="709"/>
        </w:tabs>
        <w:ind w:left="709" w:hanging="709"/>
      </w:pPr>
      <w:rPr>
        <w:rFonts w:ascii="Symbol" w:hAnsi="Symbol" w:hint="default"/>
        <w:sz w:val="16"/>
      </w:rPr>
    </w:lvl>
  </w:abstractNum>
  <w:abstractNum w:abstractNumId="15" w15:restartNumberingAfterBreak="0">
    <w:nsid w:val="357D3FB8"/>
    <w:multiLevelType w:val="hybridMultilevel"/>
    <w:tmpl w:val="1B7E33C6"/>
    <w:lvl w:ilvl="0" w:tplc="8FA07D72">
      <w:start w:val="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66CB"/>
    <w:multiLevelType w:val="multilevel"/>
    <w:tmpl w:val="A78AD9F4"/>
    <w:lvl w:ilvl="0">
      <w:start w:val="1"/>
      <w:numFmt w:val="upperLetter"/>
      <w:pStyle w:val="BrauwLijstA"/>
      <w:lvlText w:val="(%1)"/>
      <w:lvlJc w:val="left"/>
      <w:pPr>
        <w:tabs>
          <w:tab w:val="num" w:pos="2836"/>
        </w:tabs>
        <w:ind w:left="2836" w:hanging="709"/>
      </w:pPr>
      <w:rPr>
        <w:rFonts w:cs="Arial" w:hint="default"/>
      </w:rPr>
    </w:lvl>
    <w:lvl w:ilvl="1">
      <w:start w:val="1"/>
      <w:numFmt w:val="lowerRoman"/>
      <w:lvlText w:val="(%2)"/>
      <w:lvlJc w:val="left"/>
      <w:pPr>
        <w:tabs>
          <w:tab w:val="num" w:pos="3544"/>
        </w:tabs>
        <w:ind w:left="3544" w:hanging="708"/>
      </w:pPr>
      <w:rPr>
        <w:rFonts w:hint="default"/>
      </w:rPr>
    </w:lvl>
    <w:lvl w:ilvl="2">
      <w:start w:val="1"/>
      <w:numFmt w:val="lowerRoman"/>
      <w:lvlText w:val="(%3)"/>
      <w:lvlJc w:val="left"/>
      <w:pPr>
        <w:tabs>
          <w:tab w:val="num" w:pos="4253"/>
        </w:tabs>
        <w:ind w:left="4253" w:hanging="709"/>
      </w:pPr>
      <w:rPr>
        <w:rFonts w:hint="default"/>
      </w:rPr>
    </w:lvl>
    <w:lvl w:ilvl="3">
      <w:start w:val="1"/>
      <w:numFmt w:val="decimal"/>
      <w:lvlText w:val="%4."/>
      <w:lvlJc w:val="left"/>
      <w:pPr>
        <w:tabs>
          <w:tab w:val="num" w:pos="4962"/>
        </w:tabs>
        <w:ind w:left="4962" w:hanging="709"/>
      </w:pPr>
      <w:rPr>
        <w:rFonts w:hint="default"/>
      </w:rPr>
    </w:lvl>
    <w:lvl w:ilvl="4">
      <w:start w:val="1"/>
      <w:numFmt w:val="lowerLetter"/>
      <w:lvlText w:val="%5."/>
      <w:lvlJc w:val="left"/>
      <w:pPr>
        <w:tabs>
          <w:tab w:val="num" w:pos="5671"/>
        </w:tabs>
        <w:ind w:left="5671" w:hanging="709"/>
      </w:pPr>
      <w:rPr>
        <w:rFonts w:hint="default"/>
      </w:rPr>
    </w:lvl>
    <w:lvl w:ilvl="5">
      <w:start w:val="1"/>
      <w:numFmt w:val="lowerRoman"/>
      <w:lvlText w:val="%6."/>
      <w:lvlJc w:val="left"/>
      <w:pPr>
        <w:tabs>
          <w:tab w:val="num" w:pos="6380"/>
        </w:tabs>
        <w:ind w:left="6380" w:hanging="709"/>
      </w:pPr>
      <w:rPr>
        <w:rFonts w:hint="default"/>
      </w:rPr>
    </w:lvl>
    <w:lvl w:ilvl="6">
      <w:start w:val="1"/>
      <w:numFmt w:val="decimal"/>
      <w:lvlText w:val="%7."/>
      <w:lvlJc w:val="left"/>
      <w:pPr>
        <w:tabs>
          <w:tab w:val="num" w:pos="7088"/>
        </w:tabs>
        <w:ind w:left="7088" w:hanging="708"/>
      </w:pPr>
      <w:rPr>
        <w:rFonts w:hint="default"/>
      </w:rPr>
    </w:lvl>
    <w:lvl w:ilvl="7">
      <w:start w:val="1"/>
      <w:numFmt w:val="lowerLetter"/>
      <w:lvlText w:val="%8."/>
      <w:lvlJc w:val="left"/>
      <w:pPr>
        <w:tabs>
          <w:tab w:val="num" w:pos="7797"/>
        </w:tabs>
        <w:ind w:left="7797" w:hanging="709"/>
      </w:pPr>
      <w:rPr>
        <w:rFonts w:hint="default"/>
      </w:rPr>
    </w:lvl>
    <w:lvl w:ilvl="8">
      <w:start w:val="1"/>
      <w:numFmt w:val="lowerRoman"/>
      <w:lvlText w:val="%9."/>
      <w:lvlJc w:val="left"/>
      <w:pPr>
        <w:tabs>
          <w:tab w:val="num" w:pos="8506"/>
        </w:tabs>
        <w:ind w:left="8506" w:hanging="709"/>
      </w:pPr>
      <w:rPr>
        <w:rFonts w:hint="default"/>
      </w:rPr>
    </w:lvl>
  </w:abstractNum>
  <w:abstractNum w:abstractNumId="17" w15:restartNumberingAfterBreak="0">
    <w:nsid w:val="43B37DA2"/>
    <w:multiLevelType w:val="hybridMultilevel"/>
    <w:tmpl w:val="F7866F1A"/>
    <w:lvl w:ilvl="0" w:tplc="BBD2EDEC">
      <w:start w:val="1"/>
      <w:numFmt w:val="decimal"/>
      <w:pStyle w:val="BrauwPartijen"/>
      <w:lvlText w:val="(%1)"/>
      <w:lvlJc w:val="left"/>
      <w:pPr>
        <w:tabs>
          <w:tab w:val="num" w:pos="709"/>
        </w:tabs>
        <w:ind w:left="709" w:hanging="709"/>
      </w:pPr>
      <w:rPr>
        <w:rFonts w:hint="default"/>
        <w:b w:val="0"/>
        <w:i/>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5A81448"/>
    <w:multiLevelType w:val="multilevel"/>
    <w:tmpl w:val="194826D8"/>
    <w:lvl w:ilvl="0">
      <w:start w:val="1"/>
      <w:numFmt w:val="decimal"/>
      <w:lvlRestart w:val="0"/>
      <w:pStyle w:val="BrauwB1"/>
      <w:lvlText w:val="%1"/>
      <w:lvlJc w:val="left"/>
      <w:pPr>
        <w:tabs>
          <w:tab w:val="num" w:pos="709"/>
        </w:tabs>
        <w:ind w:left="709" w:hanging="709"/>
      </w:pPr>
      <w:rPr>
        <w:rFonts w:hint="default"/>
        <w:b/>
      </w:rPr>
    </w:lvl>
    <w:lvl w:ilvl="1">
      <w:start w:val="1"/>
      <w:numFmt w:val="decimal"/>
      <w:pStyle w:val="BrauwB2"/>
      <w:lvlText w:val="%1.%2"/>
      <w:lvlJc w:val="left"/>
      <w:pPr>
        <w:tabs>
          <w:tab w:val="num" w:pos="709"/>
        </w:tabs>
        <w:ind w:left="709" w:hanging="709"/>
      </w:pPr>
      <w:rPr>
        <w:rFonts w:hint="default"/>
        <w:b/>
      </w:rPr>
    </w:lvl>
    <w:lvl w:ilvl="2">
      <w:start w:val="1"/>
      <w:numFmt w:val="decimal"/>
      <w:pStyle w:val="BrauwB3"/>
      <w:lvlText w:val="%1.%2.%3"/>
      <w:lvlJc w:val="left"/>
      <w:pPr>
        <w:tabs>
          <w:tab w:val="num" w:pos="709"/>
        </w:tabs>
        <w:ind w:left="709" w:hanging="709"/>
      </w:pPr>
      <w:rPr>
        <w:rFonts w:hint="default"/>
        <w:b/>
      </w:rPr>
    </w:lvl>
    <w:lvl w:ilvl="3">
      <w:start w:val="1"/>
      <w:numFmt w:val="decimal"/>
      <w:lvlRestart w:val="0"/>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9" w15:restartNumberingAfterBreak="0">
    <w:nsid w:val="672C5D19"/>
    <w:multiLevelType w:val="hybridMultilevel"/>
    <w:tmpl w:val="F94092A6"/>
    <w:lvl w:ilvl="0" w:tplc="662ABD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1B6C93"/>
    <w:multiLevelType w:val="singleLevel"/>
    <w:tmpl w:val="95DC83C4"/>
    <w:name w:val="BrauwNra"/>
    <w:lvl w:ilvl="0">
      <w:start w:val="1"/>
      <w:numFmt w:val="lowerLetter"/>
      <w:pStyle w:val="Brauwa"/>
      <w:lvlText w:val="(%1)"/>
      <w:lvlJc w:val="left"/>
      <w:pPr>
        <w:tabs>
          <w:tab w:val="num" w:pos="1418"/>
        </w:tabs>
        <w:ind w:left="1418" w:hanging="709"/>
      </w:pPr>
      <w:rPr>
        <w:rFonts w:hint="default"/>
      </w:rPr>
    </w:lvl>
  </w:abstractNum>
  <w:abstractNum w:abstractNumId="21" w15:restartNumberingAfterBreak="0">
    <w:nsid w:val="709F55F6"/>
    <w:multiLevelType w:val="multilevel"/>
    <w:tmpl w:val="2228ACDC"/>
    <w:name w:val="BrauwNum"/>
    <w:lvl w:ilvl="0">
      <w:start w:val="1"/>
      <w:numFmt w:val="decimal"/>
      <w:lvlRestart w:val="0"/>
      <w:pStyle w:val="BrauwK1"/>
      <w:lvlText w:val="%1"/>
      <w:lvlJc w:val="left"/>
      <w:pPr>
        <w:tabs>
          <w:tab w:val="num" w:pos="709"/>
        </w:tabs>
        <w:ind w:left="709" w:hanging="709"/>
      </w:pPr>
      <w:rPr>
        <w:rFonts w:hint="default"/>
        <w:b/>
      </w:rPr>
    </w:lvl>
    <w:lvl w:ilvl="1">
      <w:start w:val="1"/>
      <w:numFmt w:val="decimal"/>
      <w:pStyle w:val="BrauwK2"/>
      <w:lvlText w:val="%1.%2"/>
      <w:lvlJc w:val="left"/>
      <w:pPr>
        <w:tabs>
          <w:tab w:val="num" w:pos="709"/>
        </w:tabs>
        <w:ind w:left="709" w:hanging="709"/>
      </w:pPr>
      <w:rPr>
        <w:rFonts w:hint="default"/>
        <w:b/>
      </w:rPr>
    </w:lvl>
    <w:lvl w:ilvl="2">
      <w:start w:val="1"/>
      <w:numFmt w:val="decimal"/>
      <w:pStyle w:val="BrauwK3"/>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15:restartNumberingAfterBreak="0">
    <w:nsid w:val="714A7CE7"/>
    <w:multiLevelType w:val="singleLevel"/>
    <w:tmpl w:val="74F444B2"/>
    <w:lvl w:ilvl="0">
      <w:start w:val="1"/>
      <w:numFmt w:val="upperLetter"/>
      <w:pStyle w:val="BrauwOverwegingen"/>
      <w:lvlText w:val="(%1)"/>
      <w:lvlJc w:val="left"/>
      <w:pPr>
        <w:tabs>
          <w:tab w:val="num" w:pos="709"/>
        </w:tabs>
        <w:ind w:left="709" w:hanging="709"/>
      </w:pPr>
      <w:rPr>
        <w:rFonts w:ascii="Arial" w:hAnsi="Arial" w:hint="default"/>
        <w:b w:val="0"/>
        <w:i/>
        <w:sz w:val="19"/>
      </w:rPr>
    </w:lvl>
  </w:abstractNum>
  <w:abstractNum w:abstractNumId="23" w15:restartNumberingAfterBreak="0">
    <w:nsid w:val="71AD4B00"/>
    <w:multiLevelType w:val="multilevel"/>
    <w:tmpl w:val="3EEC4FF0"/>
    <w:lvl w:ilvl="0">
      <w:start w:val="1"/>
      <w:numFmt w:val="decimal"/>
      <w:pStyle w:val="Brauwbijlage"/>
      <w:lvlText w:val="Bijlage %1"/>
      <w:lvlJc w:val="left"/>
      <w:pPr>
        <w:tabs>
          <w:tab w:val="num" w:pos="1701"/>
        </w:tabs>
        <w:ind w:left="1701" w:hanging="1701"/>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47E6951"/>
    <w:multiLevelType w:val="multilevel"/>
    <w:tmpl w:val="71AAF9CC"/>
    <w:styleLink w:val="Lijst-ovkkoppen"/>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1020"/>
        </w:tabs>
        <w:ind w:left="1020" w:hanging="680"/>
      </w:pPr>
      <w:rPr>
        <w:rFonts w:hint="default"/>
        <w:i/>
      </w:rPr>
    </w:lvl>
    <w:lvl w:ilvl="3">
      <w:start w:val="1"/>
      <w:numFmt w:val="lowerLetter"/>
      <w:lvlText w:val="(%4)"/>
      <w:lvlJc w:val="left"/>
      <w:pPr>
        <w:tabs>
          <w:tab w:val="num" w:pos="1531"/>
        </w:tabs>
        <w:ind w:left="1531" w:hanging="511"/>
      </w:pPr>
      <w:rPr>
        <w:rFonts w:hint="default"/>
        <w:i/>
      </w:rPr>
    </w:lvl>
    <w:lvl w:ilvl="4">
      <w:start w:val="1"/>
      <w:numFmt w:val="lowerRoman"/>
      <w:lvlText w:val="(%5)"/>
      <w:lvlJc w:val="left"/>
      <w:pPr>
        <w:tabs>
          <w:tab w:val="num" w:pos="2041"/>
        </w:tabs>
        <w:ind w:left="2041" w:hanging="510"/>
      </w:pPr>
      <w:rPr>
        <w:rFonts w:hint="default"/>
        <w:i/>
      </w:rPr>
    </w:lvl>
    <w:lvl w:ilvl="5">
      <w:start w:val="1"/>
      <w:numFmt w:val="upperLetter"/>
      <w:lvlText w:val="(%6)"/>
      <w:lvlJc w:val="left"/>
      <w:pPr>
        <w:tabs>
          <w:tab w:val="num" w:pos="2551"/>
        </w:tabs>
        <w:ind w:left="2551" w:hanging="510"/>
      </w:pPr>
      <w:rPr>
        <w:rFonts w:hint="default"/>
        <w:i/>
      </w:rPr>
    </w:lvl>
    <w:lvl w:ilvl="6">
      <w:start w:val="1"/>
      <w:numFmt w:val="decimal"/>
      <w:lvlText w:val="(%7)"/>
      <w:lvlJc w:val="left"/>
      <w:pPr>
        <w:tabs>
          <w:tab w:val="num" w:pos="3062"/>
        </w:tabs>
        <w:ind w:left="3062" w:hanging="510"/>
      </w:pPr>
      <w:rPr>
        <w:rFonts w:hint="default"/>
        <w:b w:val="0"/>
        <w:i/>
      </w:rPr>
    </w:lvl>
    <w:lvl w:ilvl="7">
      <w:start w:val="1"/>
      <w:numFmt w:val="upperRoman"/>
      <w:lvlText w:val="(%8)"/>
      <w:lvlJc w:val="left"/>
      <w:pPr>
        <w:tabs>
          <w:tab w:val="num" w:pos="3572"/>
        </w:tabs>
        <w:ind w:left="3572" w:hanging="510"/>
      </w:pPr>
      <w:rPr>
        <w:rFonts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25" w15:restartNumberingAfterBreak="0">
    <w:nsid w:val="7E097696"/>
    <w:multiLevelType w:val="singleLevel"/>
    <w:tmpl w:val="572E1376"/>
    <w:lvl w:ilvl="0">
      <w:start w:val="1"/>
      <w:numFmt w:val="decimal"/>
      <w:pStyle w:val="Brauwcitaat"/>
      <w:suff w:val="nothing"/>
      <w:lvlText w:val=""/>
      <w:lvlJc w:val="left"/>
      <w:pPr>
        <w:tabs>
          <w:tab w:val="num" w:pos="0"/>
        </w:tabs>
        <w:ind w:left="0" w:firstLine="0"/>
      </w:pPr>
    </w:lvl>
  </w:abstractNum>
  <w:abstractNum w:abstractNumId="26" w15:restartNumberingAfterBreak="0">
    <w:nsid w:val="7F6769DB"/>
    <w:multiLevelType w:val="multilevel"/>
    <w:tmpl w:val="051A3550"/>
    <w:lvl w:ilvl="0">
      <w:start w:val="1"/>
      <w:numFmt w:val="upperRoman"/>
      <w:pStyle w:val="BrauwLijstI"/>
      <w:lvlText w:val="(%1)"/>
      <w:lvlJc w:val="left"/>
      <w:pPr>
        <w:tabs>
          <w:tab w:val="num" w:pos="3545"/>
        </w:tabs>
        <w:ind w:left="3545" w:hanging="709"/>
      </w:pPr>
      <w:rPr>
        <w:rFonts w:hint="default"/>
      </w:rPr>
    </w:lvl>
    <w:lvl w:ilvl="1">
      <w:start w:val="1"/>
      <w:numFmt w:val="lowerRoman"/>
      <w:lvlText w:val="(%2)"/>
      <w:lvlJc w:val="left"/>
      <w:pPr>
        <w:tabs>
          <w:tab w:val="num" w:pos="4253"/>
        </w:tabs>
        <w:ind w:left="4253" w:hanging="708"/>
      </w:pPr>
      <w:rPr>
        <w:rFonts w:hint="default"/>
      </w:rPr>
    </w:lvl>
    <w:lvl w:ilvl="2">
      <w:start w:val="1"/>
      <w:numFmt w:val="lowerRoman"/>
      <w:lvlText w:val="(%3)"/>
      <w:lvlJc w:val="left"/>
      <w:pPr>
        <w:tabs>
          <w:tab w:val="num" w:pos="4962"/>
        </w:tabs>
        <w:ind w:left="4962" w:hanging="709"/>
      </w:pPr>
      <w:rPr>
        <w:rFonts w:hint="default"/>
      </w:rPr>
    </w:lvl>
    <w:lvl w:ilvl="3">
      <w:start w:val="1"/>
      <w:numFmt w:val="decimal"/>
      <w:lvlText w:val="%4."/>
      <w:lvlJc w:val="left"/>
      <w:pPr>
        <w:tabs>
          <w:tab w:val="num" w:pos="5671"/>
        </w:tabs>
        <w:ind w:left="5671" w:hanging="708"/>
      </w:pPr>
      <w:rPr>
        <w:rFonts w:hint="default"/>
      </w:rPr>
    </w:lvl>
    <w:lvl w:ilvl="4">
      <w:start w:val="1"/>
      <w:numFmt w:val="lowerLetter"/>
      <w:lvlText w:val="%5."/>
      <w:lvlJc w:val="left"/>
      <w:pPr>
        <w:tabs>
          <w:tab w:val="num" w:pos="6380"/>
        </w:tabs>
        <w:ind w:left="6380" w:hanging="709"/>
      </w:pPr>
      <w:rPr>
        <w:rFonts w:hint="default"/>
      </w:rPr>
    </w:lvl>
    <w:lvl w:ilvl="5">
      <w:start w:val="1"/>
      <w:numFmt w:val="lowerRoman"/>
      <w:lvlText w:val="%6."/>
      <w:lvlJc w:val="left"/>
      <w:pPr>
        <w:tabs>
          <w:tab w:val="num" w:pos="7089"/>
        </w:tabs>
        <w:ind w:left="7089" w:hanging="709"/>
      </w:pPr>
      <w:rPr>
        <w:rFonts w:hint="default"/>
      </w:rPr>
    </w:lvl>
    <w:lvl w:ilvl="6">
      <w:start w:val="1"/>
      <w:numFmt w:val="decimal"/>
      <w:lvlText w:val="%7."/>
      <w:lvlJc w:val="left"/>
      <w:pPr>
        <w:tabs>
          <w:tab w:val="num" w:pos="7797"/>
        </w:tabs>
        <w:ind w:left="7797" w:hanging="708"/>
      </w:pPr>
      <w:rPr>
        <w:rFonts w:hint="default"/>
      </w:rPr>
    </w:lvl>
    <w:lvl w:ilvl="7">
      <w:start w:val="1"/>
      <w:numFmt w:val="lowerLetter"/>
      <w:lvlText w:val="%8."/>
      <w:lvlJc w:val="left"/>
      <w:pPr>
        <w:tabs>
          <w:tab w:val="num" w:pos="8506"/>
        </w:tabs>
        <w:ind w:left="8506" w:hanging="709"/>
      </w:pPr>
      <w:rPr>
        <w:rFonts w:hint="default"/>
      </w:rPr>
    </w:lvl>
    <w:lvl w:ilvl="8">
      <w:start w:val="1"/>
      <w:numFmt w:val="lowerRoman"/>
      <w:lvlText w:val="%9."/>
      <w:lvlJc w:val="right"/>
      <w:pPr>
        <w:tabs>
          <w:tab w:val="num" w:pos="9215"/>
        </w:tabs>
        <w:ind w:left="9215" w:hanging="709"/>
      </w:pPr>
      <w:rPr>
        <w:rFonts w:hint="default"/>
      </w:rPr>
    </w:lvl>
  </w:abstractNum>
  <w:num w:numId="1" w16cid:durableId="831485355">
    <w:abstractNumId w:val="20"/>
  </w:num>
  <w:num w:numId="2" w16cid:durableId="1962222259">
    <w:abstractNumId w:val="21"/>
  </w:num>
  <w:num w:numId="3" w16cid:durableId="1971980835">
    <w:abstractNumId w:val="13"/>
  </w:num>
  <w:num w:numId="4" w16cid:durableId="1642155077">
    <w:abstractNumId w:val="20"/>
    <w:lvlOverride w:ilvl="0">
      <w:startOverride w:val="1"/>
    </w:lvlOverride>
  </w:num>
  <w:num w:numId="5" w16cid:durableId="1328091395">
    <w:abstractNumId w:val="13"/>
    <w:lvlOverride w:ilvl="0">
      <w:startOverride w:val="1"/>
    </w:lvlOverride>
  </w:num>
  <w:num w:numId="6" w16cid:durableId="1373768655">
    <w:abstractNumId w:val="12"/>
  </w:num>
  <w:num w:numId="7" w16cid:durableId="900167240">
    <w:abstractNumId w:val="18"/>
  </w:num>
  <w:num w:numId="8" w16cid:durableId="1947695482">
    <w:abstractNumId w:val="23"/>
  </w:num>
  <w:num w:numId="9" w16cid:durableId="68767582">
    <w:abstractNumId w:val="14"/>
  </w:num>
  <w:num w:numId="10" w16cid:durableId="348264552">
    <w:abstractNumId w:val="25"/>
  </w:num>
  <w:num w:numId="11" w16cid:durableId="23751392">
    <w:abstractNumId w:val="16"/>
  </w:num>
  <w:num w:numId="12" w16cid:durableId="1786146704">
    <w:abstractNumId w:val="26"/>
  </w:num>
  <w:num w:numId="13" w16cid:durableId="913079780">
    <w:abstractNumId w:val="22"/>
  </w:num>
  <w:num w:numId="14" w16cid:durableId="2026397150">
    <w:abstractNumId w:val="17"/>
  </w:num>
  <w:num w:numId="15" w16cid:durableId="1568488332">
    <w:abstractNumId w:val="24"/>
  </w:num>
  <w:num w:numId="16" w16cid:durableId="564068484">
    <w:abstractNumId w:val="10"/>
  </w:num>
  <w:num w:numId="17" w16cid:durableId="70735209">
    <w:abstractNumId w:val="3"/>
  </w:num>
  <w:num w:numId="18" w16cid:durableId="1472795264">
    <w:abstractNumId w:val="2"/>
  </w:num>
  <w:num w:numId="19" w16cid:durableId="1792895193">
    <w:abstractNumId w:val="9"/>
  </w:num>
  <w:num w:numId="20" w16cid:durableId="609047501">
    <w:abstractNumId w:val="7"/>
  </w:num>
  <w:num w:numId="21" w16cid:durableId="512107994">
    <w:abstractNumId w:val="6"/>
  </w:num>
  <w:num w:numId="22" w16cid:durableId="1161577413">
    <w:abstractNumId w:val="5"/>
  </w:num>
  <w:num w:numId="23" w16cid:durableId="282420662">
    <w:abstractNumId w:val="4"/>
  </w:num>
  <w:num w:numId="24" w16cid:durableId="1189955448">
    <w:abstractNumId w:val="8"/>
  </w:num>
  <w:num w:numId="25" w16cid:durableId="260529844">
    <w:abstractNumId w:val="1"/>
  </w:num>
  <w:num w:numId="26" w16cid:durableId="1848977113">
    <w:abstractNumId w:val="0"/>
  </w:num>
  <w:num w:numId="27" w16cid:durableId="390273761">
    <w:abstractNumId w:val="19"/>
  </w:num>
  <w:num w:numId="28" w16cid:durableId="1445418726">
    <w:abstractNumId w:val="11"/>
  </w:num>
  <w:num w:numId="29" w16cid:durableId="2072000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A0"/>
    <w:rsid w:val="000232FF"/>
    <w:rsid w:val="00032AED"/>
    <w:rsid w:val="00054C8E"/>
    <w:rsid w:val="000A5BAD"/>
    <w:rsid w:val="000C5565"/>
    <w:rsid w:val="000F62B3"/>
    <w:rsid w:val="00125FD0"/>
    <w:rsid w:val="0012630C"/>
    <w:rsid w:val="001561BA"/>
    <w:rsid w:val="00156EF7"/>
    <w:rsid w:val="00196AE5"/>
    <w:rsid w:val="0021263C"/>
    <w:rsid w:val="00224A83"/>
    <w:rsid w:val="00391278"/>
    <w:rsid w:val="003D19F9"/>
    <w:rsid w:val="0047720F"/>
    <w:rsid w:val="00485819"/>
    <w:rsid w:val="00486678"/>
    <w:rsid w:val="004A11CB"/>
    <w:rsid w:val="004B4226"/>
    <w:rsid w:val="004C7854"/>
    <w:rsid w:val="0051015A"/>
    <w:rsid w:val="00514066"/>
    <w:rsid w:val="00556C01"/>
    <w:rsid w:val="00596939"/>
    <w:rsid w:val="00664746"/>
    <w:rsid w:val="00704207"/>
    <w:rsid w:val="007211B7"/>
    <w:rsid w:val="00736961"/>
    <w:rsid w:val="00745FEA"/>
    <w:rsid w:val="00794DAC"/>
    <w:rsid w:val="007957EB"/>
    <w:rsid w:val="007F6F0A"/>
    <w:rsid w:val="008C19B9"/>
    <w:rsid w:val="0091077C"/>
    <w:rsid w:val="00A1677C"/>
    <w:rsid w:val="00A627B3"/>
    <w:rsid w:val="00A66E38"/>
    <w:rsid w:val="00A722FB"/>
    <w:rsid w:val="00A76EE3"/>
    <w:rsid w:val="00A87781"/>
    <w:rsid w:val="00AD4BEC"/>
    <w:rsid w:val="00B85C05"/>
    <w:rsid w:val="00BA608A"/>
    <w:rsid w:val="00BB4918"/>
    <w:rsid w:val="00BE0DA0"/>
    <w:rsid w:val="00BE2557"/>
    <w:rsid w:val="00BE2737"/>
    <w:rsid w:val="00C238B3"/>
    <w:rsid w:val="00C52F4D"/>
    <w:rsid w:val="00C86D9B"/>
    <w:rsid w:val="00D523DF"/>
    <w:rsid w:val="00E03EA4"/>
    <w:rsid w:val="00ED3FF8"/>
    <w:rsid w:val="00EF5EE0"/>
    <w:rsid w:val="00F0602B"/>
    <w:rsid w:val="00F3773C"/>
    <w:rsid w:val="00FD281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CA54"/>
  <w15:chartTrackingRefBased/>
  <w15:docId w15:val="{3C929660-A1F5-43B7-ABA3-B3F225F1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14066"/>
    <w:pPr>
      <w:keepNext/>
      <w:spacing w:before="240" w:after="60" w:line="312" w:lineRule="auto"/>
      <w:outlineLvl w:val="0"/>
    </w:pPr>
    <w:rPr>
      <w:rFonts w:ascii="Arial" w:eastAsia="Calibri" w:hAnsi="Arial" w:cs="Arial"/>
      <w:b/>
      <w:bCs/>
      <w:spacing w:val="3"/>
      <w:kern w:val="32"/>
      <w:sz w:val="32"/>
      <w:szCs w:val="32"/>
      <w14:ligatures w14:val="none"/>
    </w:rPr>
  </w:style>
  <w:style w:type="paragraph" w:styleId="Heading2">
    <w:name w:val="heading 2"/>
    <w:basedOn w:val="Normal"/>
    <w:next w:val="Normal"/>
    <w:link w:val="Heading2Char"/>
    <w:semiHidden/>
    <w:qFormat/>
    <w:rsid w:val="00514066"/>
    <w:pPr>
      <w:keepNext/>
      <w:spacing w:before="240" w:after="60" w:line="312" w:lineRule="auto"/>
      <w:outlineLvl w:val="1"/>
    </w:pPr>
    <w:rPr>
      <w:rFonts w:ascii="Arial" w:eastAsia="Calibri" w:hAnsi="Arial" w:cs="Arial"/>
      <w:b/>
      <w:bCs/>
      <w:i/>
      <w:iCs/>
      <w:spacing w:val="3"/>
      <w:kern w:val="0"/>
      <w:sz w:val="28"/>
      <w:szCs w:val="28"/>
      <w14:ligatures w14:val="none"/>
    </w:rPr>
  </w:style>
  <w:style w:type="paragraph" w:styleId="Heading3">
    <w:name w:val="heading 3"/>
    <w:basedOn w:val="Normal"/>
    <w:next w:val="Normal"/>
    <w:link w:val="Heading3Char"/>
    <w:semiHidden/>
    <w:qFormat/>
    <w:rsid w:val="00514066"/>
    <w:pPr>
      <w:keepNext/>
      <w:spacing w:before="240" w:after="60" w:line="312" w:lineRule="auto"/>
      <w:outlineLvl w:val="2"/>
    </w:pPr>
    <w:rPr>
      <w:rFonts w:ascii="Arial" w:eastAsia="Calibri" w:hAnsi="Arial" w:cs="Arial"/>
      <w:b/>
      <w:bCs/>
      <w:spacing w:val="3"/>
      <w:kern w:val="0"/>
      <w:sz w:val="26"/>
      <w:szCs w:val="26"/>
      <w14:ligatures w14:val="none"/>
    </w:rPr>
  </w:style>
  <w:style w:type="paragraph" w:styleId="Heading4">
    <w:name w:val="heading 4"/>
    <w:basedOn w:val="Normal"/>
    <w:next w:val="Normal"/>
    <w:link w:val="Heading4Char"/>
    <w:semiHidden/>
    <w:qFormat/>
    <w:rsid w:val="00514066"/>
    <w:pPr>
      <w:keepNext/>
      <w:spacing w:before="240" w:after="60" w:line="312" w:lineRule="auto"/>
      <w:outlineLvl w:val="3"/>
    </w:pPr>
    <w:rPr>
      <w:rFonts w:ascii="Times New Roman" w:eastAsia="Calibri" w:hAnsi="Times New Roman" w:cs="Times New Roman"/>
      <w:b/>
      <w:bCs/>
      <w:spacing w:val="3"/>
      <w:kern w:val="0"/>
      <w:sz w:val="28"/>
      <w:szCs w:val="28"/>
      <w14:ligatures w14:val="none"/>
    </w:rPr>
  </w:style>
  <w:style w:type="paragraph" w:styleId="Heading5">
    <w:name w:val="heading 5"/>
    <w:basedOn w:val="Normal"/>
    <w:next w:val="Normal"/>
    <w:link w:val="Heading5Char"/>
    <w:semiHidden/>
    <w:qFormat/>
    <w:rsid w:val="00514066"/>
    <w:pPr>
      <w:spacing w:before="240" w:after="60" w:line="312" w:lineRule="auto"/>
      <w:outlineLvl w:val="4"/>
    </w:pPr>
    <w:rPr>
      <w:rFonts w:ascii="Arial" w:eastAsia="Calibri" w:hAnsi="Arial" w:cs="Times New Roman"/>
      <w:b/>
      <w:bCs/>
      <w:i/>
      <w:iCs/>
      <w:spacing w:val="3"/>
      <w:kern w:val="0"/>
      <w:sz w:val="26"/>
      <w:szCs w:val="26"/>
      <w14:ligatures w14:val="none"/>
    </w:rPr>
  </w:style>
  <w:style w:type="paragraph" w:styleId="Heading6">
    <w:name w:val="heading 6"/>
    <w:basedOn w:val="Normal"/>
    <w:next w:val="Normal"/>
    <w:link w:val="Heading6Char"/>
    <w:semiHidden/>
    <w:qFormat/>
    <w:rsid w:val="00514066"/>
    <w:pPr>
      <w:spacing w:before="240" w:after="60" w:line="312" w:lineRule="auto"/>
      <w:outlineLvl w:val="5"/>
    </w:pPr>
    <w:rPr>
      <w:rFonts w:ascii="Times New Roman" w:eastAsia="Calibri" w:hAnsi="Times New Roman" w:cs="Times New Roman"/>
      <w:b/>
      <w:bCs/>
      <w:spacing w:val="3"/>
      <w:kern w:val="0"/>
      <w14:ligatures w14:val="none"/>
    </w:rPr>
  </w:style>
  <w:style w:type="paragraph" w:styleId="Heading7">
    <w:name w:val="heading 7"/>
    <w:basedOn w:val="Normal"/>
    <w:next w:val="Normal"/>
    <w:link w:val="Heading7Char"/>
    <w:semiHidden/>
    <w:qFormat/>
    <w:rsid w:val="00514066"/>
    <w:pPr>
      <w:spacing w:before="240" w:after="60" w:line="312" w:lineRule="auto"/>
      <w:outlineLvl w:val="6"/>
    </w:pPr>
    <w:rPr>
      <w:rFonts w:ascii="Times New Roman" w:eastAsia="Calibri" w:hAnsi="Times New Roman" w:cs="Times New Roman"/>
      <w:spacing w:val="3"/>
      <w:kern w:val="0"/>
      <w:sz w:val="24"/>
      <w:szCs w:val="24"/>
      <w14:ligatures w14:val="none"/>
    </w:rPr>
  </w:style>
  <w:style w:type="paragraph" w:styleId="Heading8">
    <w:name w:val="heading 8"/>
    <w:basedOn w:val="Normal"/>
    <w:next w:val="Normal"/>
    <w:link w:val="Heading8Char"/>
    <w:semiHidden/>
    <w:qFormat/>
    <w:rsid w:val="00514066"/>
    <w:pPr>
      <w:spacing w:before="240" w:after="60" w:line="312" w:lineRule="auto"/>
      <w:outlineLvl w:val="7"/>
    </w:pPr>
    <w:rPr>
      <w:rFonts w:ascii="Times New Roman" w:eastAsia="Calibri" w:hAnsi="Times New Roman" w:cs="Times New Roman"/>
      <w:i/>
      <w:iCs/>
      <w:spacing w:val="3"/>
      <w:kern w:val="0"/>
      <w:sz w:val="24"/>
      <w:szCs w:val="24"/>
      <w14:ligatures w14:val="none"/>
    </w:rPr>
  </w:style>
  <w:style w:type="paragraph" w:styleId="Heading9">
    <w:name w:val="heading 9"/>
    <w:basedOn w:val="Normal"/>
    <w:next w:val="Normal"/>
    <w:link w:val="Heading9Char"/>
    <w:semiHidden/>
    <w:qFormat/>
    <w:rsid w:val="00514066"/>
    <w:pPr>
      <w:spacing w:before="240" w:after="60" w:line="312" w:lineRule="auto"/>
      <w:outlineLvl w:val="8"/>
    </w:pPr>
    <w:rPr>
      <w:rFonts w:ascii="Arial" w:eastAsia="Calibri" w:hAnsi="Arial" w:cs="Arial"/>
      <w:spacing w:val="3"/>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DA0"/>
    <w:pPr>
      <w:spacing w:after="0" w:line="240" w:lineRule="auto"/>
    </w:pPr>
  </w:style>
  <w:style w:type="character" w:customStyle="1" w:styleId="Heading1Char">
    <w:name w:val="Heading 1 Char"/>
    <w:basedOn w:val="DefaultParagraphFont"/>
    <w:link w:val="Heading1"/>
    <w:rsid w:val="00514066"/>
    <w:rPr>
      <w:rFonts w:ascii="Arial" w:eastAsia="Calibri" w:hAnsi="Arial" w:cs="Arial"/>
      <w:b/>
      <w:bCs/>
      <w:spacing w:val="3"/>
      <w:kern w:val="32"/>
      <w:sz w:val="32"/>
      <w:szCs w:val="32"/>
      <w14:ligatures w14:val="none"/>
    </w:rPr>
  </w:style>
  <w:style w:type="character" w:customStyle="1" w:styleId="Heading2Char">
    <w:name w:val="Heading 2 Char"/>
    <w:basedOn w:val="DefaultParagraphFont"/>
    <w:link w:val="Heading2"/>
    <w:semiHidden/>
    <w:rsid w:val="00514066"/>
    <w:rPr>
      <w:rFonts w:ascii="Arial" w:eastAsia="Calibri" w:hAnsi="Arial" w:cs="Arial"/>
      <w:b/>
      <w:bCs/>
      <w:i/>
      <w:iCs/>
      <w:spacing w:val="3"/>
      <w:kern w:val="0"/>
      <w:sz w:val="28"/>
      <w:szCs w:val="28"/>
      <w14:ligatures w14:val="none"/>
    </w:rPr>
  </w:style>
  <w:style w:type="character" w:customStyle="1" w:styleId="Heading3Char">
    <w:name w:val="Heading 3 Char"/>
    <w:basedOn w:val="DefaultParagraphFont"/>
    <w:link w:val="Heading3"/>
    <w:semiHidden/>
    <w:rsid w:val="00514066"/>
    <w:rPr>
      <w:rFonts w:ascii="Arial" w:eastAsia="Calibri" w:hAnsi="Arial" w:cs="Arial"/>
      <w:b/>
      <w:bCs/>
      <w:spacing w:val="3"/>
      <w:kern w:val="0"/>
      <w:sz w:val="26"/>
      <w:szCs w:val="26"/>
      <w14:ligatures w14:val="none"/>
    </w:rPr>
  </w:style>
  <w:style w:type="character" w:customStyle="1" w:styleId="Heading4Char">
    <w:name w:val="Heading 4 Char"/>
    <w:basedOn w:val="DefaultParagraphFont"/>
    <w:link w:val="Heading4"/>
    <w:semiHidden/>
    <w:rsid w:val="00514066"/>
    <w:rPr>
      <w:rFonts w:ascii="Times New Roman" w:eastAsia="Calibri" w:hAnsi="Times New Roman" w:cs="Times New Roman"/>
      <w:b/>
      <w:bCs/>
      <w:spacing w:val="3"/>
      <w:kern w:val="0"/>
      <w:sz w:val="28"/>
      <w:szCs w:val="28"/>
      <w14:ligatures w14:val="none"/>
    </w:rPr>
  </w:style>
  <w:style w:type="character" w:customStyle="1" w:styleId="Heading5Char">
    <w:name w:val="Heading 5 Char"/>
    <w:basedOn w:val="DefaultParagraphFont"/>
    <w:link w:val="Heading5"/>
    <w:semiHidden/>
    <w:rsid w:val="00514066"/>
    <w:rPr>
      <w:rFonts w:ascii="Arial" w:eastAsia="Calibri" w:hAnsi="Arial" w:cs="Times New Roman"/>
      <w:b/>
      <w:bCs/>
      <w:i/>
      <w:iCs/>
      <w:spacing w:val="3"/>
      <w:kern w:val="0"/>
      <w:sz w:val="26"/>
      <w:szCs w:val="26"/>
      <w14:ligatures w14:val="none"/>
    </w:rPr>
  </w:style>
  <w:style w:type="character" w:customStyle="1" w:styleId="Heading6Char">
    <w:name w:val="Heading 6 Char"/>
    <w:basedOn w:val="DefaultParagraphFont"/>
    <w:link w:val="Heading6"/>
    <w:semiHidden/>
    <w:rsid w:val="00514066"/>
    <w:rPr>
      <w:rFonts w:ascii="Times New Roman" w:eastAsia="Calibri" w:hAnsi="Times New Roman" w:cs="Times New Roman"/>
      <w:b/>
      <w:bCs/>
      <w:spacing w:val="3"/>
      <w:kern w:val="0"/>
      <w14:ligatures w14:val="none"/>
    </w:rPr>
  </w:style>
  <w:style w:type="character" w:customStyle="1" w:styleId="Heading7Char">
    <w:name w:val="Heading 7 Char"/>
    <w:basedOn w:val="DefaultParagraphFont"/>
    <w:link w:val="Heading7"/>
    <w:semiHidden/>
    <w:rsid w:val="00514066"/>
    <w:rPr>
      <w:rFonts w:ascii="Times New Roman" w:eastAsia="Calibri" w:hAnsi="Times New Roman" w:cs="Times New Roman"/>
      <w:spacing w:val="3"/>
      <w:kern w:val="0"/>
      <w:sz w:val="24"/>
      <w:szCs w:val="24"/>
      <w14:ligatures w14:val="none"/>
    </w:rPr>
  </w:style>
  <w:style w:type="character" w:customStyle="1" w:styleId="Heading8Char">
    <w:name w:val="Heading 8 Char"/>
    <w:basedOn w:val="DefaultParagraphFont"/>
    <w:link w:val="Heading8"/>
    <w:semiHidden/>
    <w:rsid w:val="00514066"/>
    <w:rPr>
      <w:rFonts w:ascii="Times New Roman" w:eastAsia="Calibri" w:hAnsi="Times New Roman" w:cs="Times New Roman"/>
      <w:i/>
      <w:iCs/>
      <w:spacing w:val="3"/>
      <w:kern w:val="0"/>
      <w:sz w:val="24"/>
      <w:szCs w:val="24"/>
      <w14:ligatures w14:val="none"/>
    </w:rPr>
  </w:style>
  <w:style w:type="character" w:customStyle="1" w:styleId="Heading9Char">
    <w:name w:val="Heading 9 Char"/>
    <w:basedOn w:val="DefaultParagraphFont"/>
    <w:link w:val="Heading9"/>
    <w:semiHidden/>
    <w:rsid w:val="00514066"/>
    <w:rPr>
      <w:rFonts w:ascii="Arial" w:eastAsia="Calibri" w:hAnsi="Arial" w:cs="Arial"/>
      <w:spacing w:val="3"/>
      <w:kern w:val="0"/>
      <w14:ligatures w14:val="none"/>
    </w:rPr>
  </w:style>
  <w:style w:type="paragraph" w:styleId="Header">
    <w:name w:val="header"/>
    <w:basedOn w:val="Normal"/>
    <w:link w:val="HeaderChar"/>
    <w:rsid w:val="00514066"/>
    <w:pPr>
      <w:tabs>
        <w:tab w:val="center" w:pos="4320"/>
        <w:tab w:val="right" w:pos="8640"/>
      </w:tabs>
      <w:spacing w:after="0" w:line="312" w:lineRule="auto"/>
    </w:pPr>
    <w:rPr>
      <w:rFonts w:ascii="Arial" w:eastAsia="Calibri" w:hAnsi="Arial" w:cs="Times New Roman"/>
      <w:spacing w:val="3"/>
      <w:kern w:val="0"/>
      <w:sz w:val="19"/>
      <w14:ligatures w14:val="none"/>
    </w:rPr>
  </w:style>
  <w:style w:type="character" w:customStyle="1" w:styleId="HeaderChar">
    <w:name w:val="Header Char"/>
    <w:basedOn w:val="DefaultParagraphFont"/>
    <w:link w:val="Header"/>
    <w:rsid w:val="00514066"/>
    <w:rPr>
      <w:rFonts w:ascii="Arial" w:eastAsia="Calibri" w:hAnsi="Arial" w:cs="Times New Roman"/>
      <w:spacing w:val="3"/>
      <w:kern w:val="0"/>
      <w:sz w:val="19"/>
      <w14:ligatures w14:val="none"/>
    </w:rPr>
  </w:style>
  <w:style w:type="paragraph" w:styleId="Footer">
    <w:name w:val="footer"/>
    <w:link w:val="FooterChar"/>
    <w:rsid w:val="00514066"/>
    <w:pPr>
      <w:tabs>
        <w:tab w:val="center" w:pos="4320"/>
        <w:tab w:val="right" w:pos="8640"/>
      </w:tabs>
      <w:spacing w:after="0" w:line="240" w:lineRule="auto"/>
    </w:pPr>
    <w:rPr>
      <w:rFonts w:ascii="Arial" w:eastAsia="Calibri" w:hAnsi="Arial" w:cs="Times New Roman"/>
      <w:spacing w:val="3"/>
      <w:kern w:val="0"/>
      <w:sz w:val="15"/>
      <w14:ligatures w14:val="none"/>
    </w:rPr>
  </w:style>
  <w:style w:type="character" w:customStyle="1" w:styleId="FooterChar">
    <w:name w:val="Footer Char"/>
    <w:basedOn w:val="DefaultParagraphFont"/>
    <w:link w:val="Footer"/>
    <w:rsid w:val="00514066"/>
    <w:rPr>
      <w:rFonts w:ascii="Arial" w:eastAsia="Calibri" w:hAnsi="Arial" w:cs="Times New Roman"/>
      <w:spacing w:val="3"/>
      <w:kern w:val="0"/>
      <w:sz w:val="15"/>
      <w14:ligatures w14:val="none"/>
    </w:rPr>
  </w:style>
  <w:style w:type="paragraph" w:customStyle="1" w:styleId="Hidden">
    <w:name w:val="Hidden"/>
    <w:basedOn w:val="Normal"/>
    <w:semiHidden/>
    <w:rsid w:val="00514066"/>
    <w:pPr>
      <w:framePr w:w="119" w:h="363" w:wrap="around" w:hAnchor="margin" w:x="-1417" w:y="-2267"/>
      <w:spacing w:after="0" w:line="240" w:lineRule="atLeast"/>
    </w:pPr>
    <w:rPr>
      <w:rFonts w:ascii="Arial" w:eastAsia="Calibri" w:hAnsi="Arial" w:cs="Times New Roman"/>
      <w:spacing w:val="3"/>
      <w:kern w:val="0"/>
      <w:sz w:val="18"/>
      <w14:ligatures w14:val="none"/>
    </w:rPr>
  </w:style>
  <w:style w:type="paragraph" w:styleId="TOC1">
    <w:name w:val="toc 1"/>
    <w:basedOn w:val="Normal"/>
    <w:next w:val="Normal"/>
    <w:uiPriority w:val="39"/>
    <w:rsid w:val="00514066"/>
    <w:pPr>
      <w:tabs>
        <w:tab w:val="left" w:pos="1701"/>
        <w:tab w:val="right" w:leader="dot" w:pos="8573"/>
      </w:tabs>
      <w:spacing w:after="0" w:line="312" w:lineRule="auto"/>
      <w:ind w:left="709" w:hanging="709"/>
    </w:pPr>
    <w:rPr>
      <w:rFonts w:ascii="Arial" w:eastAsia="Calibri" w:hAnsi="Arial" w:cs="Times New Roman"/>
      <w:bCs/>
      <w:caps/>
      <w:noProof/>
      <w:spacing w:val="3"/>
      <w:kern w:val="0"/>
      <w:sz w:val="19"/>
      <w:szCs w:val="19"/>
      <w:lang w:val="en-GB"/>
      <w14:ligatures w14:val="none"/>
    </w:rPr>
  </w:style>
  <w:style w:type="paragraph" w:styleId="TOC2">
    <w:name w:val="toc 2"/>
    <w:basedOn w:val="Normal"/>
    <w:next w:val="Normal"/>
    <w:uiPriority w:val="39"/>
    <w:rsid w:val="00514066"/>
    <w:pPr>
      <w:tabs>
        <w:tab w:val="left" w:pos="709"/>
        <w:tab w:val="right" w:leader="dot" w:pos="8573"/>
      </w:tabs>
      <w:spacing w:after="40" w:line="312" w:lineRule="auto"/>
      <w:ind w:left="1418" w:hanging="709"/>
    </w:pPr>
    <w:rPr>
      <w:rFonts w:ascii="Arial" w:eastAsia="Calibri" w:hAnsi="Arial" w:cs="Times New Roman"/>
      <w:spacing w:val="3"/>
      <w:kern w:val="0"/>
      <w:sz w:val="19"/>
      <w:szCs w:val="19"/>
      <w:lang w:val="en-GB"/>
      <w14:ligatures w14:val="none"/>
    </w:rPr>
  </w:style>
  <w:style w:type="paragraph" w:styleId="TOC3">
    <w:name w:val="toc 3"/>
    <w:basedOn w:val="Normal"/>
    <w:next w:val="Normal"/>
    <w:uiPriority w:val="39"/>
    <w:rsid w:val="00514066"/>
    <w:pPr>
      <w:tabs>
        <w:tab w:val="left" w:pos="1418"/>
        <w:tab w:val="right" w:leader="dot" w:pos="8573"/>
      </w:tabs>
      <w:spacing w:after="40" w:line="312" w:lineRule="auto"/>
      <w:ind w:left="2127" w:hanging="709"/>
    </w:pPr>
    <w:rPr>
      <w:rFonts w:ascii="Arial" w:eastAsia="Calibri" w:hAnsi="Arial" w:cs="Times New Roman"/>
      <w:noProof/>
      <w:spacing w:val="3"/>
      <w:kern w:val="0"/>
      <w:sz w:val="19"/>
      <w:szCs w:val="18"/>
      <w:lang w:val="en-GB"/>
      <w14:ligatures w14:val="none"/>
    </w:rPr>
  </w:style>
  <w:style w:type="paragraph" w:styleId="FootnoteText">
    <w:name w:val="footnote text"/>
    <w:basedOn w:val="Normal"/>
    <w:link w:val="FootnoteTextChar"/>
    <w:semiHidden/>
    <w:rsid w:val="00514066"/>
    <w:pPr>
      <w:spacing w:after="0" w:line="240" w:lineRule="auto"/>
      <w:jc w:val="both"/>
    </w:pPr>
    <w:rPr>
      <w:rFonts w:ascii="Arial" w:eastAsia="Calibri" w:hAnsi="Arial" w:cs="Times New Roman"/>
      <w:spacing w:val="3"/>
      <w:kern w:val="0"/>
      <w:sz w:val="16"/>
      <w:szCs w:val="20"/>
      <w14:ligatures w14:val="none"/>
    </w:rPr>
  </w:style>
  <w:style w:type="character" w:customStyle="1" w:styleId="FootnoteTextChar">
    <w:name w:val="Footnote Text Char"/>
    <w:basedOn w:val="DefaultParagraphFont"/>
    <w:link w:val="FootnoteText"/>
    <w:semiHidden/>
    <w:rsid w:val="00514066"/>
    <w:rPr>
      <w:rFonts w:ascii="Arial" w:eastAsia="Calibri" w:hAnsi="Arial" w:cs="Times New Roman"/>
      <w:spacing w:val="3"/>
      <w:kern w:val="0"/>
      <w:sz w:val="16"/>
      <w:szCs w:val="20"/>
      <w14:ligatures w14:val="none"/>
    </w:rPr>
  </w:style>
  <w:style w:type="paragraph" w:customStyle="1" w:styleId="BrauwK1">
    <w:name w:val="Brauw K1"/>
    <w:basedOn w:val="Normal"/>
    <w:next w:val="Standaard1"/>
    <w:qFormat/>
    <w:rsid w:val="00514066"/>
    <w:pPr>
      <w:keepNext/>
      <w:numPr>
        <w:numId w:val="2"/>
      </w:numPr>
      <w:spacing w:after="240" w:line="312" w:lineRule="auto"/>
      <w:jc w:val="both"/>
      <w:outlineLvl w:val="0"/>
    </w:pPr>
    <w:rPr>
      <w:rFonts w:ascii="Arial" w:eastAsia="Calibri" w:hAnsi="Arial" w:cs="Times New Roman"/>
      <w:b/>
      <w:caps/>
      <w:spacing w:val="3"/>
      <w:kern w:val="0"/>
      <w:sz w:val="19"/>
      <w:szCs w:val="19"/>
      <w14:ligatures w14:val="none"/>
    </w:rPr>
  </w:style>
  <w:style w:type="paragraph" w:customStyle="1" w:styleId="BrauwK2">
    <w:name w:val="Brauw K2"/>
    <w:basedOn w:val="Standaard0"/>
    <w:next w:val="Standaard1"/>
    <w:qFormat/>
    <w:rsid w:val="00514066"/>
    <w:pPr>
      <w:keepNext/>
      <w:numPr>
        <w:ilvl w:val="1"/>
        <w:numId w:val="2"/>
      </w:numPr>
      <w:outlineLvl w:val="1"/>
    </w:pPr>
    <w:rPr>
      <w:b/>
    </w:rPr>
  </w:style>
  <w:style w:type="paragraph" w:customStyle="1" w:styleId="BrauwK3">
    <w:name w:val="Brauw K3"/>
    <w:basedOn w:val="Standaard0"/>
    <w:next w:val="Standaard1"/>
    <w:qFormat/>
    <w:rsid w:val="00514066"/>
    <w:pPr>
      <w:keepNext/>
      <w:numPr>
        <w:ilvl w:val="2"/>
        <w:numId w:val="2"/>
      </w:numPr>
      <w:outlineLvl w:val="2"/>
    </w:pPr>
    <w:rPr>
      <w:b/>
    </w:rPr>
  </w:style>
  <w:style w:type="paragraph" w:customStyle="1" w:styleId="BrauwA1">
    <w:name w:val="Brauw A1"/>
    <w:basedOn w:val="BrauwK1"/>
    <w:qFormat/>
    <w:rsid w:val="00514066"/>
    <w:pPr>
      <w:keepNext w:val="0"/>
      <w:outlineLvl w:val="9"/>
    </w:pPr>
    <w:rPr>
      <w:b w:val="0"/>
    </w:rPr>
  </w:style>
  <w:style w:type="paragraph" w:customStyle="1" w:styleId="BrauwA2">
    <w:name w:val="Brauw A2"/>
    <w:basedOn w:val="BrauwK2"/>
    <w:qFormat/>
    <w:rsid w:val="00514066"/>
    <w:pPr>
      <w:keepNext w:val="0"/>
      <w:outlineLvl w:val="9"/>
    </w:pPr>
    <w:rPr>
      <w:b w:val="0"/>
    </w:rPr>
  </w:style>
  <w:style w:type="paragraph" w:customStyle="1" w:styleId="DPHidden">
    <w:name w:val="DP_Hidden"/>
    <w:basedOn w:val="Normal"/>
    <w:semiHidden/>
    <w:rsid w:val="00514066"/>
    <w:pPr>
      <w:framePr w:w="119" w:h="363" w:wrap="around" w:hAnchor="margin" w:x="-1417" w:y="-2267"/>
      <w:spacing w:after="0" w:line="240" w:lineRule="atLeast"/>
    </w:pPr>
    <w:rPr>
      <w:rFonts w:ascii="Arial" w:eastAsia="Calibri" w:hAnsi="Arial" w:cs="Times New Roman"/>
      <w:spacing w:val="3"/>
      <w:kern w:val="0"/>
      <w:sz w:val="18"/>
      <w14:ligatures w14:val="none"/>
    </w:rPr>
  </w:style>
  <w:style w:type="paragraph" w:customStyle="1" w:styleId="Standaard0">
    <w:name w:val="Standaard0"/>
    <w:qFormat/>
    <w:rsid w:val="00514066"/>
    <w:pPr>
      <w:spacing w:after="240" w:line="312" w:lineRule="auto"/>
      <w:jc w:val="both"/>
    </w:pPr>
    <w:rPr>
      <w:rFonts w:ascii="Arial" w:eastAsia="Calibri" w:hAnsi="Arial" w:cs="Times New Roman"/>
      <w:spacing w:val="3"/>
      <w:kern w:val="0"/>
      <w:sz w:val="19"/>
      <w14:ligatures w14:val="none"/>
    </w:rPr>
  </w:style>
  <w:style w:type="paragraph" w:customStyle="1" w:styleId="BrauwA3">
    <w:name w:val="Brauw A3"/>
    <w:basedOn w:val="BrauwK3"/>
    <w:qFormat/>
    <w:rsid w:val="00514066"/>
    <w:pPr>
      <w:keepNext w:val="0"/>
      <w:tabs>
        <w:tab w:val="left" w:pos="1134"/>
      </w:tabs>
      <w:outlineLvl w:val="9"/>
    </w:pPr>
    <w:rPr>
      <w:b w:val="0"/>
    </w:rPr>
  </w:style>
  <w:style w:type="paragraph" w:customStyle="1" w:styleId="Brauw1">
    <w:name w:val="Brauw 1"/>
    <w:basedOn w:val="Standaard0"/>
    <w:rsid w:val="00514066"/>
    <w:pPr>
      <w:numPr>
        <w:numId w:val="6"/>
      </w:numPr>
      <w:tabs>
        <w:tab w:val="clear" w:pos="709"/>
      </w:tabs>
    </w:pPr>
  </w:style>
  <w:style w:type="paragraph" w:customStyle="1" w:styleId="Brauwa">
    <w:name w:val="Brauw a"/>
    <w:basedOn w:val="Standaard0"/>
    <w:rsid w:val="00514066"/>
    <w:pPr>
      <w:numPr>
        <w:numId w:val="1"/>
      </w:numPr>
    </w:pPr>
  </w:style>
  <w:style w:type="paragraph" w:customStyle="1" w:styleId="Brauwbullet">
    <w:name w:val="Brauw bullet"/>
    <w:basedOn w:val="Standaard0"/>
    <w:rsid w:val="00514066"/>
    <w:pPr>
      <w:numPr>
        <w:numId w:val="9"/>
      </w:numPr>
      <w:ind w:left="1418"/>
    </w:pPr>
  </w:style>
  <w:style w:type="paragraph" w:customStyle="1" w:styleId="Brauwi">
    <w:name w:val="Brauw i"/>
    <w:basedOn w:val="Standaard0"/>
    <w:rsid w:val="00514066"/>
    <w:pPr>
      <w:numPr>
        <w:numId w:val="3"/>
      </w:numPr>
      <w:tabs>
        <w:tab w:val="left" w:pos="1418"/>
      </w:tabs>
    </w:pPr>
  </w:style>
  <w:style w:type="paragraph" w:customStyle="1" w:styleId="Standaard1">
    <w:name w:val="Standaard1"/>
    <w:basedOn w:val="Standaard0"/>
    <w:link w:val="Standaard1Char"/>
    <w:qFormat/>
    <w:rsid w:val="00514066"/>
    <w:pPr>
      <w:numPr>
        <w:numId w:val="16"/>
      </w:numPr>
      <w:ind w:left="709"/>
    </w:pPr>
  </w:style>
  <w:style w:type="paragraph" w:customStyle="1" w:styleId="Brauwcitaat">
    <w:name w:val="Brauw citaat"/>
    <w:basedOn w:val="Standaard0"/>
    <w:qFormat/>
    <w:rsid w:val="00514066"/>
    <w:pPr>
      <w:numPr>
        <w:numId w:val="10"/>
      </w:numPr>
      <w:tabs>
        <w:tab w:val="clear" w:pos="0"/>
      </w:tabs>
      <w:spacing w:line="240" w:lineRule="auto"/>
      <w:ind w:left="1418"/>
    </w:pPr>
    <w:rPr>
      <w:i/>
      <w:sz w:val="17"/>
    </w:rPr>
  </w:style>
  <w:style w:type="paragraph" w:customStyle="1" w:styleId="BrauwB1">
    <w:name w:val="Brauw B1"/>
    <w:basedOn w:val="Standaard0"/>
    <w:next w:val="Standaard1"/>
    <w:qFormat/>
    <w:rsid w:val="00514066"/>
    <w:pPr>
      <w:keepNext/>
      <w:numPr>
        <w:numId w:val="7"/>
      </w:numPr>
    </w:pPr>
    <w:rPr>
      <w:b/>
    </w:rPr>
  </w:style>
  <w:style w:type="paragraph" w:customStyle="1" w:styleId="BrauwSK1">
    <w:name w:val="Brauw SK1"/>
    <w:basedOn w:val="Standaard0"/>
    <w:next w:val="Standaard1"/>
    <w:qFormat/>
    <w:rsid w:val="00514066"/>
    <w:pPr>
      <w:keepNext/>
      <w:spacing w:after="0"/>
      <w:ind w:left="709"/>
      <w:outlineLvl w:val="0"/>
    </w:pPr>
    <w:rPr>
      <w:b/>
    </w:rPr>
  </w:style>
  <w:style w:type="paragraph" w:customStyle="1" w:styleId="BrauwSK2">
    <w:name w:val="Brauw SK2"/>
    <w:basedOn w:val="Standaard0"/>
    <w:next w:val="Standaard1"/>
    <w:qFormat/>
    <w:rsid w:val="00514066"/>
    <w:pPr>
      <w:keepNext/>
      <w:spacing w:after="0"/>
      <w:ind w:left="709"/>
      <w:outlineLvl w:val="1"/>
    </w:pPr>
    <w:rPr>
      <w:b/>
      <w:i/>
    </w:rPr>
  </w:style>
  <w:style w:type="paragraph" w:customStyle="1" w:styleId="BrauwSK3">
    <w:name w:val="Brauw SK3"/>
    <w:basedOn w:val="Standaard0"/>
    <w:next w:val="Standaard1"/>
    <w:qFormat/>
    <w:rsid w:val="00514066"/>
    <w:pPr>
      <w:keepNext/>
      <w:spacing w:after="0"/>
      <w:ind w:left="709"/>
      <w:outlineLvl w:val="2"/>
    </w:pPr>
    <w:rPr>
      <w:i/>
    </w:rPr>
  </w:style>
  <w:style w:type="paragraph" w:customStyle="1" w:styleId="BrauwB2">
    <w:name w:val="Brauw B2"/>
    <w:basedOn w:val="Standaard0"/>
    <w:next w:val="Standaard1"/>
    <w:qFormat/>
    <w:rsid w:val="00514066"/>
    <w:pPr>
      <w:numPr>
        <w:ilvl w:val="1"/>
        <w:numId w:val="7"/>
      </w:numPr>
    </w:pPr>
  </w:style>
  <w:style w:type="paragraph" w:customStyle="1" w:styleId="BrauwB3">
    <w:name w:val="Brauw B3"/>
    <w:basedOn w:val="Standaard0"/>
    <w:next w:val="Standaard1"/>
    <w:qFormat/>
    <w:rsid w:val="00514066"/>
    <w:pPr>
      <w:numPr>
        <w:ilvl w:val="2"/>
        <w:numId w:val="7"/>
      </w:numPr>
    </w:pPr>
  </w:style>
  <w:style w:type="paragraph" w:customStyle="1" w:styleId="Brauwbijlage">
    <w:name w:val="Brauw bijlage"/>
    <w:basedOn w:val="Standaard0"/>
    <w:next w:val="Standaard0"/>
    <w:qFormat/>
    <w:rsid w:val="00514066"/>
    <w:pPr>
      <w:pageBreakBefore/>
      <w:numPr>
        <w:numId w:val="8"/>
      </w:numPr>
    </w:pPr>
    <w:rPr>
      <w:sz w:val="24"/>
    </w:rPr>
  </w:style>
  <w:style w:type="character" w:styleId="FootnoteReference">
    <w:name w:val="footnote reference"/>
    <w:basedOn w:val="DefaultParagraphFont"/>
    <w:semiHidden/>
    <w:rsid w:val="00514066"/>
    <w:rPr>
      <w:vertAlign w:val="superscript"/>
      <w:lang w:val="nl-NL"/>
    </w:rPr>
  </w:style>
  <w:style w:type="paragraph" w:styleId="BalloonText">
    <w:name w:val="Balloon Text"/>
    <w:basedOn w:val="Normal"/>
    <w:link w:val="BalloonTextChar"/>
    <w:semiHidden/>
    <w:rsid w:val="00514066"/>
    <w:pPr>
      <w:spacing w:after="0" w:line="312" w:lineRule="auto"/>
    </w:pPr>
    <w:rPr>
      <w:rFonts w:ascii="Tahoma" w:eastAsia="Calibri" w:hAnsi="Tahoma" w:cs="Tahoma"/>
      <w:spacing w:val="3"/>
      <w:kern w:val="0"/>
      <w:sz w:val="16"/>
      <w:szCs w:val="16"/>
      <w14:ligatures w14:val="none"/>
    </w:rPr>
  </w:style>
  <w:style w:type="character" w:customStyle="1" w:styleId="BalloonTextChar">
    <w:name w:val="Balloon Text Char"/>
    <w:basedOn w:val="DefaultParagraphFont"/>
    <w:link w:val="BalloonText"/>
    <w:semiHidden/>
    <w:rsid w:val="00514066"/>
    <w:rPr>
      <w:rFonts w:ascii="Tahoma" w:eastAsia="Calibri" w:hAnsi="Tahoma" w:cs="Tahoma"/>
      <w:spacing w:val="3"/>
      <w:kern w:val="0"/>
      <w:sz w:val="16"/>
      <w:szCs w:val="16"/>
      <w14:ligatures w14:val="none"/>
    </w:rPr>
  </w:style>
  <w:style w:type="paragraph" w:styleId="BlockText">
    <w:name w:val="Block Text"/>
    <w:basedOn w:val="Normal"/>
    <w:semiHidden/>
    <w:rsid w:val="00514066"/>
    <w:pPr>
      <w:spacing w:after="120" w:line="312" w:lineRule="auto"/>
      <w:ind w:left="1440" w:right="1440"/>
    </w:pPr>
    <w:rPr>
      <w:rFonts w:ascii="Arial" w:eastAsia="Calibri" w:hAnsi="Arial" w:cs="Times New Roman"/>
      <w:spacing w:val="3"/>
      <w:kern w:val="0"/>
      <w:sz w:val="19"/>
      <w14:ligatures w14:val="none"/>
    </w:rPr>
  </w:style>
  <w:style w:type="paragraph" w:styleId="BodyText">
    <w:name w:val="Body Text"/>
    <w:basedOn w:val="Normal"/>
    <w:link w:val="BodyTextChar"/>
    <w:semiHidden/>
    <w:rsid w:val="00514066"/>
    <w:pPr>
      <w:spacing w:after="120" w:line="312" w:lineRule="auto"/>
    </w:pPr>
    <w:rPr>
      <w:rFonts w:ascii="Arial" w:eastAsia="Calibri" w:hAnsi="Arial" w:cs="Times New Roman"/>
      <w:spacing w:val="3"/>
      <w:kern w:val="0"/>
      <w:sz w:val="19"/>
      <w14:ligatures w14:val="none"/>
    </w:rPr>
  </w:style>
  <w:style w:type="character" w:customStyle="1" w:styleId="BodyTextChar">
    <w:name w:val="Body Text Char"/>
    <w:basedOn w:val="DefaultParagraphFont"/>
    <w:link w:val="BodyText"/>
    <w:semiHidden/>
    <w:rsid w:val="00514066"/>
    <w:rPr>
      <w:rFonts w:ascii="Arial" w:eastAsia="Calibri" w:hAnsi="Arial" w:cs="Times New Roman"/>
      <w:spacing w:val="3"/>
      <w:kern w:val="0"/>
      <w:sz w:val="19"/>
      <w14:ligatures w14:val="none"/>
    </w:rPr>
  </w:style>
  <w:style w:type="paragraph" w:styleId="BodyText2">
    <w:name w:val="Body Text 2"/>
    <w:basedOn w:val="Normal"/>
    <w:link w:val="BodyText2Char"/>
    <w:semiHidden/>
    <w:rsid w:val="00514066"/>
    <w:pPr>
      <w:spacing w:after="120" w:line="480" w:lineRule="auto"/>
    </w:pPr>
    <w:rPr>
      <w:rFonts w:ascii="Arial" w:eastAsia="Calibri" w:hAnsi="Arial" w:cs="Times New Roman"/>
      <w:spacing w:val="3"/>
      <w:kern w:val="0"/>
      <w:sz w:val="19"/>
      <w14:ligatures w14:val="none"/>
    </w:rPr>
  </w:style>
  <w:style w:type="character" w:customStyle="1" w:styleId="BodyText2Char">
    <w:name w:val="Body Text 2 Char"/>
    <w:basedOn w:val="DefaultParagraphFont"/>
    <w:link w:val="BodyText2"/>
    <w:semiHidden/>
    <w:rsid w:val="00514066"/>
    <w:rPr>
      <w:rFonts w:ascii="Arial" w:eastAsia="Calibri" w:hAnsi="Arial" w:cs="Times New Roman"/>
      <w:spacing w:val="3"/>
      <w:kern w:val="0"/>
      <w:sz w:val="19"/>
      <w14:ligatures w14:val="none"/>
    </w:rPr>
  </w:style>
  <w:style w:type="paragraph" w:styleId="BodyText3">
    <w:name w:val="Body Text 3"/>
    <w:basedOn w:val="Normal"/>
    <w:link w:val="BodyText3Char"/>
    <w:semiHidden/>
    <w:rsid w:val="00514066"/>
    <w:pPr>
      <w:spacing w:after="120" w:line="312" w:lineRule="auto"/>
    </w:pPr>
    <w:rPr>
      <w:rFonts w:ascii="Arial" w:eastAsia="Calibri" w:hAnsi="Arial" w:cs="Times New Roman"/>
      <w:spacing w:val="3"/>
      <w:kern w:val="0"/>
      <w:sz w:val="16"/>
      <w:szCs w:val="16"/>
      <w14:ligatures w14:val="none"/>
    </w:rPr>
  </w:style>
  <w:style w:type="character" w:customStyle="1" w:styleId="BodyText3Char">
    <w:name w:val="Body Text 3 Char"/>
    <w:basedOn w:val="DefaultParagraphFont"/>
    <w:link w:val="BodyText3"/>
    <w:semiHidden/>
    <w:rsid w:val="00514066"/>
    <w:rPr>
      <w:rFonts w:ascii="Arial" w:eastAsia="Calibri" w:hAnsi="Arial" w:cs="Times New Roman"/>
      <w:spacing w:val="3"/>
      <w:kern w:val="0"/>
      <w:sz w:val="16"/>
      <w:szCs w:val="16"/>
      <w14:ligatures w14:val="none"/>
    </w:rPr>
  </w:style>
  <w:style w:type="paragraph" w:styleId="BodyTextFirstIndent">
    <w:name w:val="Body Text First Indent"/>
    <w:basedOn w:val="BodyText"/>
    <w:link w:val="BodyTextFirstIndentChar"/>
    <w:semiHidden/>
    <w:rsid w:val="00514066"/>
    <w:pPr>
      <w:ind w:firstLine="210"/>
    </w:pPr>
  </w:style>
  <w:style w:type="character" w:customStyle="1" w:styleId="BodyTextFirstIndentChar">
    <w:name w:val="Body Text First Indent Char"/>
    <w:basedOn w:val="BodyTextChar"/>
    <w:link w:val="BodyTextFirstIndent"/>
    <w:semiHidden/>
    <w:rsid w:val="00514066"/>
    <w:rPr>
      <w:rFonts w:ascii="Arial" w:eastAsia="Calibri" w:hAnsi="Arial" w:cs="Times New Roman"/>
      <w:spacing w:val="3"/>
      <w:kern w:val="0"/>
      <w:sz w:val="19"/>
      <w14:ligatures w14:val="none"/>
    </w:rPr>
  </w:style>
  <w:style w:type="paragraph" w:styleId="BodyTextIndent">
    <w:name w:val="Body Text Indent"/>
    <w:basedOn w:val="Normal"/>
    <w:link w:val="BodyTextIndentChar"/>
    <w:semiHidden/>
    <w:rsid w:val="00514066"/>
    <w:pPr>
      <w:spacing w:after="120" w:line="312" w:lineRule="auto"/>
      <w:ind w:left="283"/>
    </w:pPr>
    <w:rPr>
      <w:rFonts w:ascii="Arial" w:eastAsia="Calibri" w:hAnsi="Arial" w:cs="Times New Roman"/>
      <w:spacing w:val="3"/>
      <w:kern w:val="0"/>
      <w:sz w:val="19"/>
      <w14:ligatures w14:val="none"/>
    </w:rPr>
  </w:style>
  <w:style w:type="character" w:customStyle="1" w:styleId="BodyTextIndentChar">
    <w:name w:val="Body Text Indent Char"/>
    <w:basedOn w:val="DefaultParagraphFont"/>
    <w:link w:val="BodyTextIndent"/>
    <w:semiHidden/>
    <w:rsid w:val="00514066"/>
    <w:rPr>
      <w:rFonts w:ascii="Arial" w:eastAsia="Calibri" w:hAnsi="Arial" w:cs="Times New Roman"/>
      <w:spacing w:val="3"/>
      <w:kern w:val="0"/>
      <w:sz w:val="19"/>
      <w14:ligatures w14:val="none"/>
    </w:rPr>
  </w:style>
  <w:style w:type="paragraph" w:styleId="BodyTextFirstIndent2">
    <w:name w:val="Body Text First Indent 2"/>
    <w:basedOn w:val="BodyTextIndent"/>
    <w:link w:val="BodyTextFirstIndent2Char"/>
    <w:semiHidden/>
    <w:rsid w:val="00514066"/>
    <w:pPr>
      <w:ind w:firstLine="210"/>
    </w:pPr>
  </w:style>
  <w:style w:type="character" w:customStyle="1" w:styleId="BodyTextFirstIndent2Char">
    <w:name w:val="Body Text First Indent 2 Char"/>
    <w:basedOn w:val="BodyTextIndentChar"/>
    <w:link w:val="BodyTextFirstIndent2"/>
    <w:semiHidden/>
    <w:rsid w:val="00514066"/>
    <w:rPr>
      <w:rFonts w:ascii="Arial" w:eastAsia="Calibri" w:hAnsi="Arial" w:cs="Times New Roman"/>
      <w:spacing w:val="3"/>
      <w:kern w:val="0"/>
      <w:sz w:val="19"/>
      <w14:ligatures w14:val="none"/>
    </w:rPr>
  </w:style>
  <w:style w:type="paragraph" w:styleId="BodyTextIndent2">
    <w:name w:val="Body Text Indent 2"/>
    <w:basedOn w:val="Normal"/>
    <w:link w:val="BodyTextIndent2Char"/>
    <w:semiHidden/>
    <w:rsid w:val="00514066"/>
    <w:pPr>
      <w:spacing w:after="120" w:line="480" w:lineRule="auto"/>
      <w:ind w:left="283"/>
    </w:pPr>
    <w:rPr>
      <w:rFonts w:ascii="Arial" w:eastAsia="Calibri" w:hAnsi="Arial" w:cs="Times New Roman"/>
      <w:spacing w:val="3"/>
      <w:kern w:val="0"/>
      <w:sz w:val="19"/>
      <w14:ligatures w14:val="none"/>
    </w:rPr>
  </w:style>
  <w:style w:type="character" w:customStyle="1" w:styleId="BodyTextIndent2Char">
    <w:name w:val="Body Text Indent 2 Char"/>
    <w:basedOn w:val="DefaultParagraphFont"/>
    <w:link w:val="BodyTextIndent2"/>
    <w:semiHidden/>
    <w:rsid w:val="00514066"/>
    <w:rPr>
      <w:rFonts w:ascii="Arial" w:eastAsia="Calibri" w:hAnsi="Arial" w:cs="Times New Roman"/>
      <w:spacing w:val="3"/>
      <w:kern w:val="0"/>
      <w:sz w:val="19"/>
      <w14:ligatures w14:val="none"/>
    </w:rPr>
  </w:style>
  <w:style w:type="paragraph" w:styleId="BodyTextIndent3">
    <w:name w:val="Body Text Indent 3"/>
    <w:basedOn w:val="Normal"/>
    <w:link w:val="BodyTextIndent3Char"/>
    <w:semiHidden/>
    <w:rsid w:val="00514066"/>
    <w:pPr>
      <w:spacing w:after="120" w:line="312" w:lineRule="auto"/>
      <w:ind w:left="283"/>
    </w:pPr>
    <w:rPr>
      <w:rFonts w:ascii="Arial" w:eastAsia="Calibri" w:hAnsi="Arial" w:cs="Times New Roman"/>
      <w:spacing w:val="3"/>
      <w:kern w:val="0"/>
      <w:sz w:val="16"/>
      <w:szCs w:val="16"/>
      <w14:ligatures w14:val="none"/>
    </w:rPr>
  </w:style>
  <w:style w:type="character" w:customStyle="1" w:styleId="BodyTextIndent3Char">
    <w:name w:val="Body Text Indent 3 Char"/>
    <w:basedOn w:val="DefaultParagraphFont"/>
    <w:link w:val="BodyTextIndent3"/>
    <w:semiHidden/>
    <w:rsid w:val="00514066"/>
    <w:rPr>
      <w:rFonts w:ascii="Arial" w:eastAsia="Calibri" w:hAnsi="Arial" w:cs="Times New Roman"/>
      <w:spacing w:val="3"/>
      <w:kern w:val="0"/>
      <w:sz w:val="16"/>
      <w:szCs w:val="16"/>
      <w14:ligatures w14:val="none"/>
    </w:rPr>
  </w:style>
  <w:style w:type="paragraph" w:styleId="Caption">
    <w:name w:val="caption"/>
    <w:basedOn w:val="Normal"/>
    <w:next w:val="Normal"/>
    <w:semiHidden/>
    <w:qFormat/>
    <w:rsid w:val="00514066"/>
    <w:pPr>
      <w:spacing w:after="0" w:line="312" w:lineRule="auto"/>
    </w:pPr>
    <w:rPr>
      <w:rFonts w:ascii="Arial" w:eastAsia="Calibri" w:hAnsi="Arial" w:cs="Times New Roman"/>
      <w:b/>
      <w:bCs/>
      <w:spacing w:val="3"/>
      <w:kern w:val="0"/>
      <w:sz w:val="20"/>
      <w:szCs w:val="20"/>
      <w14:ligatures w14:val="none"/>
    </w:rPr>
  </w:style>
  <w:style w:type="paragraph" w:styleId="Closing">
    <w:name w:val="Closing"/>
    <w:basedOn w:val="Normal"/>
    <w:link w:val="ClosingChar"/>
    <w:semiHidden/>
    <w:rsid w:val="00514066"/>
    <w:pPr>
      <w:spacing w:after="0" w:line="312" w:lineRule="auto"/>
      <w:ind w:left="4252"/>
    </w:pPr>
    <w:rPr>
      <w:rFonts w:ascii="Arial" w:eastAsia="Calibri" w:hAnsi="Arial" w:cs="Times New Roman"/>
      <w:spacing w:val="3"/>
      <w:kern w:val="0"/>
      <w:sz w:val="19"/>
      <w14:ligatures w14:val="none"/>
    </w:rPr>
  </w:style>
  <w:style w:type="character" w:customStyle="1" w:styleId="ClosingChar">
    <w:name w:val="Closing Char"/>
    <w:basedOn w:val="DefaultParagraphFont"/>
    <w:link w:val="Closing"/>
    <w:semiHidden/>
    <w:rsid w:val="00514066"/>
    <w:rPr>
      <w:rFonts w:ascii="Arial" w:eastAsia="Calibri" w:hAnsi="Arial" w:cs="Times New Roman"/>
      <w:spacing w:val="3"/>
      <w:kern w:val="0"/>
      <w:sz w:val="19"/>
      <w14:ligatures w14:val="none"/>
    </w:rPr>
  </w:style>
  <w:style w:type="character" w:styleId="CommentReference">
    <w:name w:val="annotation reference"/>
    <w:basedOn w:val="DefaultParagraphFont"/>
    <w:semiHidden/>
    <w:rsid w:val="00514066"/>
    <w:rPr>
      <w:vanish/>
      <w:sz w:val="16"/>
      <w:szCs w:val="16"/>
      <w:lang w:val="nl-NL"/>
    </w:rPr>
  </w:style>
  <w:style w:type="paragraph" w:styleId="CommentText">
    <w:name w:val="annotation text"/>
    <w:basedOn w:val="Normal"/>
    <w:link w:val="CommentTextChar"/>
    <w:semiHidden/>
    <w:rsid w:val="00514066"/>
    <w:pPr>
      <w:spacing w:after="0" w:line="312" w:lineRule="auto"/>
    </w:pPr>
    <w:rPr>
      <w:rFonts w:ascii="Arial" w:eastAsia="Calibri" w:hAnsi="Arial" w:cs="Times New Roman"/>
      <w:spacing w:val="3"/>
      <w:kern w:val="0"/>
      <w:sz w:val="20"/>
      <w:szCs w:val="20"/>
      <w14:ligatures w14:val="none"/>
    </w:rPr>
  </w:style>
  <w:style w:type="character" w:customStyle="1" w:styleId="CommentTextChar">
    <w:name w:val="Comment Text Char"/>
    <w:basedOn w:val="DefaultParagraphFont"/>
    <w:link w:val="CommentText"/>
    <w:semiHidden/>
    <w:rsid w:val="00514066"/>
    <w:rPr>
      <w:rFonts w:ascii="Arial" w:eastAsia="Calibri" w:hAnsi="Arial" w:cs="Times New Roman"/>
      <w:spacing w:val="3"/>
      <w:kern w:val="0"/>
      <w:sz w:val="20"/>
      <w:szCs w:val="20"/>
      <w14:ligatures w14:val="none"/>
    </w:rPr>
  </w:style>
  <w:style w:type="paragraph" w:styleId="CommentSubject">
    <w:name w:val="annotation subject"/>
    <w:basedOn w:val="CommentText"/>
    <w:next w:val="CommentText"/>
    <w:link w:val="CommentSubjectChar"/>
    <w:semiHidden/>
    <w:rsid w:val="00514066"/>
    <w:rPr>
      <w:b/>
      <w:bCs/>
    </w:rPr>
  </w:style>
  <w:style w:type="character" w:customStyle="1" w:styleId="CommentSubjectChar">
    <w:name w:val="Comment Subject Char"/>
    <w:basedOn w:val="CommentTextChar"/>
    <w:link w:val="CommentSubject"/>
    <w:semiHidden/>
    <w:rsid w:val="00514066"/>
    <w:rPr>
      <w:rFonts w:ascii="Arial" w:eastAsia="Calibri" w:hAnsi="Arial" w:cs="Times New Roman"/>
      <w:b/>
      <w:bCs/>
      <w:spacing w:val="3"/>
      <w:kern w:val="0"/>
      <w:sz w:val="20"/>
      <w:szCs w:val="20"/>
      <w14:ligatures w14:val="none"/>
    </w:rPr>
  </w:style>
  <w:style w:type="paragraph" w:styleId="Date">
    <w:name w:val="Date"/>
    <w:basedOn w:val="Normal"/>
    <w:next w:val="Normal"/>
    <w:link w:val="DateChar"/>
    <w:semiHidden/>
    <w:rsid w:val="00514066"/>
    <w:pPr>
      <w:spacing w:after="0" w:line="312" w:lineRule="auto"/>
    </w:pPr>
    <w:rPr>
      <w:rFonts w:ascii="Arial" w:eastAsia="Calibri" w:hAnsi="Arial" w:cs="Times New Roman"/>
      <w:spacing w:val="3"/>
      <w:kern w:val="0"/>
      <w:sz w:val="19"/>
      <w14:ligatures w14:val="none"/>
    </w:rPr>
  </w:style>
  <w:style w:type="character" w:customStyle="1" w:styleId="DateChar">
    <w:name w:val="Date Char"/>
    <w:basedOn w:val="DefaultParagraphFont"/>
    <w:link w:val="Date"/>
    <w:semiHidden/>
    <w:rsid w:val="00514066"/>
    <w:rPr>
      <w:rFonts w:ascii="Arial" w:eastAsia="Calibri" w:hAnsi="Arial" w:cs="Times New Roman"/>
      <w:spacing w:val="3"/>
      <w:kern w:val="0"/>
      <w:sz w:val="19"/>
      <w14:ligatures w14:val="none"/>
    </w:rPr>
  </w:style>
  <w:style w:type="paragraph" w:styleId="DocumentMap">
    <w:name w:val="Document Map"/>
    <w:basedOn w:val="Normal"/>
    <w:link w:val="DocumentMapChar"/>
    <w:semiHidden/>
    <w:rsid w:val="00514066"/>
    <w:pPr>
      <w:shd w:val="clear" w:color="auto" w:fill="000080"/>
      <w:spacing w:after="0" w:line="312" w:lineRule="auto"/>
    </w:pPr>
    <w:rPr>
      <w:rFonts w:ascii="Tahoma" w:eastAsia="Calibri" w:hAnsi="Tahoma" w:cs="Tahoma"/>
      <w:spacing w:val="3"/>
      <w:kern w:val="0"/>
      <w:sz w:val="20"/>
      <w:szCs w:val="20"/>
      <w14:ligatures w14:val="none"/>
    </w:rPr>
  </w:style>
  <w:style w:type="character" w:customStyle="1" w:styleId="DocumentMapChar">
    <w:name w:val="Document Map Char"/>
    <w:basedOn w:val="DefaultParagraphFont"/>
    <w:link w:val="DocumentMap"/>
    <w:semiHidden/>
    <w:rsid w:val="00514066"/>
    <w:rPr>
      <w:rFonts w:ascii="Tahoma" w:eastAsia="Calibri" w:hAnsi="Tahoma" w:cs="Tahoma"/>
      <w:spacing w:val="3"/>
      <w:kern w:val="0"/>
      <w:sz w:val="20"/>
      <w:szCs w:val="20"/>
      <w:shd w:val="clear" w:color="auto" w:fill="000080"/>
      <w14:ligatures w14:val="none"/>
    </w:rPr>
  </w:style>
  <w:style w:type="paragraph" w:styleId="E-mailSignature">
    <w:name w:val="E-mail Signature"/>
    <w:basedOn w:val="Normal"/>
    <w:link w:val="E-mailSignatureChar"/>
    <w:semiHidden/>
    <w:rsid w:val="00514066"/>
    <w:pPr>
      <w:spacing w:after="0" w:line="312" w:lineRule="auto"/>
    </w:pPr>
    <w:rPr>
      <w:rFonts w:ascii="Arial" w:eastAsia="Calibri" w:hAnsi="Arial" w:cs="Times New Roman"/>
      <w:spacing w:val="3"/>
      <w:kern w:val="0"/>
      <w:sz w:val="19"/>
      <w14:ligatures w14:val="none"/>
    </w:rPr>
  </w:style>
  <w:style w:type="character" w:customStyle="1" w:styleId="E-mailSignatureChar">
    <w:name w:val="E-mail Signature Char"/>
    <w:basedOn w:val="DefaultParagraphFont"/>
    <w:link w:val="E-mailSignature"/>
    <w:semiHidden/>
    <w:rsid w:val="00514066"/>
    <w:rPr>
      <w:rFonts w:ascii="Arial" w:eastAsia="Calibri" w:hAnsi="Arial" w:cs="Times New Roman"/>
      <w:spacing w:val="3"/>
      <w:kern w:val="0"/>
      <w:sz w:val="19"/>
      <w14:ligatures w14:val="none"/>
    </w:rPr>
  </w:style>
  <w:style w:type="character" w:styleId="Emphasis">
    <w:name w:val="Emphasis"/>
    <w:basedOn w:val="DefaultParagraphFont"/>
    <w:uiPriority w:val="20"/>
    <w:qFormat/>
    <w:rsid w:val="00514066"/>
    <w:rPr>
      <w:i/>
      <w:iCs/>
      <w:lang w:val="nl-NL"/>
    </w:rPr>
  </w:style>
  <w:style w:type="character" w:styleId="EndnoteReference">
    <w:name w:val="endnote reference"/>
    <w:basedOn w:val="DefaultParagraphFont"/>
    <w:semiHidden/>
    <w:rsid w:val="00514066"/>
    <w:rPr>
      <w:vertAlign w:val="superscript"/>
      <w:lang w:val="nl-NL"/>
    </w:rPr>
  </w:style>
  <w:style w:type="paragraph" w:styleId="EndnoteText">
    <w:name w:val="endnote text"/>
    <w:basedOn w:val="Normal"/>
    <w:link w:val="EndnoteTextChar"/>
    <w:semiHidden/>
    <w:rsid w:val="00514066"/>
    <w:pPr>
      <w:spacing w:after="0" w:line="312" w:lineRule="auto"/>
    </w:pPr>
    <w:rPr>
      <w:rFonts w:ascii="Arial" w:eastAsia="Calibri" w:hAnsi="Arial" w:cs="Times New Roman"/>
      <w:spacing w:val="3"/>
      <w:kern w:val="0"/>
      <w:sz w:val="20"/>
      <w:szCs w:val="20"/>
      <w14:ligatures w14:val="none"/>
    </w:rPr>
  </w:style>
  <w:style w:type="character" w:customStyle="1" w:styleId="EndnoteTextChar">
    <w:name w:val="Endnote Text Char"/>
    <w:basedOn w:val="DefaultParagraphFont"/>
    <w:link w:val="EndnoteText"/>
    <w:semiHidden/>
    <w:rsid w:val="00514066"/>
    <w:rPr>
      <w:rFonts w:ascii="Arial" w:eastAsia="Calibri" w:hAnsi="Arial" w:cs="Times New Roman"/>
      <w:spacing w:val="3"/>
      <w:kern w:val="0"/>
      <w:sz w:val="20"/>
      <w:szCs w:val="20"/>
      <w14:ligatures w14:val="none"/>
    </w:rPr>
  </w:style>
  <w:style w:type="paragraph" w:styleId="EnvelopeAddress">
    <w:name w:val="envelope address"/>
    <w:basedOn w:val="Normal"/>
    <w:semiHidden/>
    <w:rsid w:val="00514066"/>
    <w:pPr>
      <w:framePr w:w="7920" w:h="1980" w:hRule="exact" w:hSpace="180" w:wrap="auto" w:hAnchor="page" w:xAlign="center" w:yAlign="bottom"/>
      <w:spacing w:after="0" w:line="312" w:lineRule="auto"/>
      <w:ind w:left="2880"/>
    </w:pPr>
    <w:rPr>
      <w:rFonts w:ascii="Arial" w:eastAsia="Calibri" w:hAnsi="Arial" w:cs="Arial"/>
      <w:spacing w:val="3"/>
      <w:kern w:val="0"/>
      <w:sz w:val="24"/>
      <w:szCs w:val="24"/>
      <w14:ligatures w14:val="none"/>
    </w:rPr>
  </w:style>
  <w:style w:type="paragraph" w:styleId="EnvelopeReturn">
    <w:name w:val="envelope return"/>
    <w:basedOn w:val="Normal"/>
    <w:semiHidden/>
    <w:rsid w:val="00514066"/>
    <w:pPr>
      <w:spacing w:after="0" w:line="312" w:lineRule="auto"/>
    </w:pPr>
    <w:rPr>
      <w:rFonts w:ascii="Arial" w:eastAsia="Calibri" w:hAnsi="Arial" w:cs="Arial"/>
      <w:spacing w:val="3"/>
      <w:kern w:val="0"/>
      <w:sz w:val="20"/>
      <w:szCs w:val="20"/>
      <w14:ligatures w14:val="none"/>
    </w:rPr>
  </w:style>
  <w:style w:type="character" w:styleId="FollowedHyperlink">
    <w:name w:val="FollowedHyperlink"/>
    <w:basedOn w:val="DefaultParagraphFont"/>
    <w:semiHidden/>
    <w:rsid w:val="00514066"/>
    <w:rPr>
      <w:color w:val="800080"/>
      <w:u w:val="single"/>
      <w:lang w:val="nl-NL"/>
    </w:rPr>
  </w:style>
  <w:style w:type="character" w:styleId="HTMLAcronym">
    <w:name w:val="HTML Acronym"/>
    <w:basedOn w:val="DefaultParagraphFont"/>
    <w:semiHidden/>
    <w:rsid w:val="00514066"/>
    <w:rPr>
      <w:lang w:val="nl-NL"/>
    </w:rPr>
  </w:style>
  <w:style w:type="paragraph" w:styleId="HTMLAddress">
    <w:name w:val="HTML Address"/>
    <w:basedOn w:val="Normal"/>
    <w:link w:val="HTMLAddressChar"/>
    <w:semiHidden/>
    <w:rsid w:val="00514066"/>
    <w:pPr>
      <w:spacing w:after="0" w:line="312" w:lineRule="auto"/>
    </w:pPr>
    <w:rPr>
      <w:rFonts w:ascii="Arial" w:eastAsia="Calibri" w:hAnsi="Arial" w:cs="Times New Roman"/>
      <w:i/>
      <w:iCs/>
      <w:spacing w:val="3"/>
      <w:kern w:val="0"/>
      <w:sz w:val="19"/>
      <w14:ligatures w14:val="none"/>
    </w:rPr>
  </w:style>
  <w:style w:type="character" w:customStyle="1" w:styleId="HTMLAddressChar">
    <w:name w:val="HTML Address Char"/>
    <w:basedOn w:val="DefaultParagraphFont"/>
    <w:link w:val="HTMLAddress"/>
    <w:semiHidden/>
    <w:rsid w:val="00514066"/>
    <w:rPr>
      <w:rFonts w:ascii="Arial" w:eastAsia="Calibri" w:hAnsi="Arial" w:cs="Times New Roman"/>
      <w:i/>
      <w:iCs/>
      <w:spacing w:val="3"/>
      <w:kern w:val="0"/>
      <w:sz w:val="19"/>
      <w14:ligatures w14:val="none"/>
    </w:rPr>
  </w:style>
  <w:style w:type="character" w:styleId="HTMLCite">
    <w:name w:val="HTML Cite"/>
    <w:basedOn w:val="DefaultParagraphFont"/>
    <w:semiHidden/>
    <w:rsid w:val="00514066"/>
    <w:rPr>
      <w:i/>
      <w:iCs/>
      <w:lang w:val="nl-NL"/>
    </w:rPr>
  </w:style>
  <w:style w:type="character" w:styleId="HTMLCode">
    <w:name w:val="HTML Code"/>
    <w:basedOn w:val="DefaultParagraphFont"/>
    <w:semiHidden/>
    <w:rsid w:val="00514066"/>
    <w:rPr>
      <w:rFonts w:ascii="Courier New" w:hAnsi="Courier New" w:cs="Courier New"/>
      <w:sz w:val="20"/>
      <w:szCs w:val="20"/>
      <w:lang w:val="nl-NL"/>
    </w:rPr>
  </w:style>
  <w:style w:type="character" w:styleId="HTMLDefinition">
    <w:name w:val="HTML Definition"/>
    <w:basedOn w:val="DefaultParagraphFont"/>
    <w:semiHidden/>
    <w:rsid w:val="00514066"/>
    <w:rPr>
      <w:i/>
      <w:iCs/>
      <w:lang w:val="nl-NL"/>
    </w:rPr>
  </w:style>
  <w:style w:type="character" w:styleId="HTMLKeyboard">
    <w:name w:val="HTML Keyboard"/>
    <w:basedOn w:val="DefaultParagraphFont"/>
    <w:semiHidden/>
    <w:rsid w:val="00514066"/>
    <w:rPr>
      <w:rFonts w:ascii="Courier New" w:hAnsi="Courier New" w:cs="Courier New"/>
      <w:sz w:val="20"/>
      <w:szCs w:val="20"/>
      <w:lang w:val="nl-NL"/>
    </w:rPr>
  </w:style>
  <w:style w:type="paragraph" w:styleId="HTMLPreformatted">
    <w:name w:val="HTML Preformatted"/>
    <w:basedOn w:val="Normal"/>
    <w:link w:val="HTMLPreformattedChar"/>
    <w:semiHidden/>
    <w:rsid w:val="00514066"/>
    <w:pPr>
      <w:spacing w:after="0" w:line="312" w:lineRule="auto"/>
    </w:pPr>
    <w:rPr>
      <w:rFonts w:ascii="Courier New" w:eastAsia="Calibri" w:hAnsi="Courier New" w:cs="Courier New"/>
      <w:spacing w:val="3"/>
      <w:kern w:val="0"/>
      <w:sz w:val="20"/>
      <w:szCs w:val="20"/>
      <w14:ligatures w14:val="none"/>
    </w:rPr>
  </w:style>
  <w:style w:type="character" w:customStyle="1" w:styleId="HTMLPreformattedChar">
    <w:name w:val="HTML Preformatted Char"/>
    <w:basedOn w:val="DefaultParagraphFont"/>
    <w:link w:val="HTMLPreformatted"/>
    <w:semiHidden/>
    <w:rsid w:val="00514066"/>
    <w:rPr>
      <w:rFonts w:ascii="Courier New" w:eastAsia="Calibri" w:hAnsi="Courier New" w:cs="Courier New"/>
      <w:spacing w:val="3"/>
      <w:kern w:val="0"/>
      <w:sz w:val="20"/>
      <w:szCs w:val="20"/>
      <w14:ligatures w14:val="none"/>
    </w:rPr>
  </w:style>
  <w:style w:type="character" w:styleId="HTMLSample">
    <w:name w:val="HTML Sample"/>
    <w:basedOn w:val="DefaultParagraphFont"/>
    <w:semiHidden/>
    <w:rsid w:val="00514066"/>
    <w:rPr>
      <w:rFonts w:ascii="Courier New" w:hAnsi="Courier New" w:cs="Courier New"/>
      <w:lang w:val="nl-NL"/>
    </w:rPr>
  </w:style>
  <w:style w:type="character" w:styleId="HTMLTypewriter">
    <w:name w:val="HTML Typewriter"/>
    <w:basedOn w:val="DefaultParagraphFont"/>
    <w:semiHidden/>
    <w:rsid w:val="00514066"/>
    <w:rPr>
      <w:rFonts w:ascii="Courier New" w:hAnsi="Courier New" w:cs="Courier New"/>
      <w:sz w:val="20"/>
      <w:szCs w:val="20"/>
      <w:lang w:val="nl-NL"/>
    </w:rPr>
  </w:style>
  <w:style w:type="character" w:styleId="HTMLVariable">
    <w:name w:val="HTML Variable"/>
    <w:basedOn w:val="DefaultParagraphFont"/>
    <w:semiHidden/>
    <w:rsid w:val="00514066"/>
    <w:rPr>
      <w:i/>
      <w:iCs/>
      <w:lang w:val="nl-NL"/>
    </w:rPr>
  </w:style>
  <w:style w:type="character" w:styleId="Hyperlink">
    <w:name w:val="Hyperlink"/>
    <w:basedOn w:val="DefaultParagraphFont"/>
    <w:uiPriority w:val="99"/>
    <w:unhideWhenUsed/>
    <w:rsid w:val="00514066"/>
    <w:rPr>
      <w:color w:val="0563C1" w:themeColor="hyperlink"/>
      <w:u w:val="single"/>
      <w:lang w:val="nl-NL"/>
    </w:rPr>
  </w:style>
  <w:style w:type="paragraph" w:styleId="Index1">
    <w:name w:val="index 1"/>
    <w:basedOn w:val="Normal"/>
    <w:next w:val="Normal"/>
    <w:autoRedefine/>
    <w:semiHidden/>
    <w:rsid w:val="00514066"/>
    <w:pPr>
      <w:spacing w:after="0" w:line="312" w:lineRule="auto"/>
      <w:ind w:left="190" w:hanging="190"/>
    </w:pPr>
    <w:rPr>
      <w:rFonts w:ascii="Arial" w:eastAsia="Calibri" w:hAnsi="Arial" w:cs="Times New Roman"/>
      <w:spacing w:val="3"/>
      <w:kern w:val="0"/>
      <w:sz w:val="19"/>
      <w14:ligatures w14:val="none"/>
    </w:rPr>
  </w:style>
  <w:style w:type="paragraph" w:styleId="Index2">
    <w:name w:val="index 2"/>
    <w:basedOn w:val="Normal"/>
    <w:next w:val="Normal"/>
    <w:autoRedefine/>
    <w:semiHidden/>
    <w:rsid w:val="00514066"/>
    <w:pPr>
      <w:spacing w:after="0" w:line="312" w:lineRule="auto"/>
      <w:ind w:left="380" w:hanging="190"/>
    </w:pPr>
    <w:rPr>
      <w:rFonts w:ascii="Arial" w:eastAsia="Calibri" w:hAnsi="Arial" w:cs="Times New Roman"/>
      <w:spacing w:val="3"/>
      <w:kern w:val="0"/>
      <w:sz w:val="19"/>
      <w14:ligatures w14:val="none"/>
    </w:rPr>
  </w:style>
  <w:style w:type="paragraph" w:styleId="Index3">
    <w:name w:val="index 3"/>
    <w:basedOn w:val="Normal"/>
    <w:next w:val="Normal"/>
    <w:autoRedefine/>
    <w:semiHidden/>
    <w:rsid w:val="00514066"/>
    <w:pPr>
      <w:spacing w:after="0" w:line="312" w:lineRule="auto"/>
      <w:ind w:left="570" w:hanging="190"/>
    </w:pPr>
    <w:rPr>
      <w:rFonts w:ascii="Arial" w:eastAsia="Calibri" w:hAnsi="Arial" w:cs="Times New Roman"/>
      <w:spacing w:val="3"/>
      <w:kern w:val="0"/>
      <w:sz w:val="19"/>
      <w14:ligatures w14:val="none"/>
    </w:rPr>
  </w:style>
  <w:style w:type="paragraph" w:styleId="Index4">
    <w:name w:val="index 4"/>
    <w:basedOn w:val="Normal"/>
    <w:next w:val="Normal"/>
    <w:autoRedefine/>
    <w:semiHidden/>
    <w:rsid w:val="00514066"/>
    <w:pPr>
      <w:spacing w:after="0" w:line="312" w:lineRule="auto"/>
      <w:ind w:left="760" w:hanging="190"/>
    </w:pPr>
    <w:rPr>
      <w:rFonts w:ascii="Arial" w:eastAsia="Calibri" w:hAnsi="Arial" w:cs="Times New Roman"/>
      <w:spacing w:val="3"/>
      <w:kern w:val="0"/>
      <w:sz w:val="19"/>
      <w14:ligatures w14:val="none"/>
    </w:rPr>
  </w:style>
  <w:style w:type="paragraph" w:styleId="Index5">
    <w:name w:val="index 5"/>
    <w:basedOn w:val="Normal"/>
    <w:next w:val="Normal"/>
    <w:autoRedefine/>
    <w:semiHidden/>
    <w:rsid w:val="00514066"/>
    <w:pPr>
      <w:spacing w:after="0" w:line="312" w:lineRule="auto"/>
      <w:ind w:left="950" w:hanging="190"/>
    </w:pPr>
    <w:rPr>
      <w:rFonts w:ascii="Arial" w:eastAsia="Calibri" w:hAnsi="Arial" w:cs="Times New Roman"/>
      <w:spacing w:val="3"/>
      <w:kern w:val="0"/>
      <w:sz w:val="19"/>
      <w14:ligatures w14:val="none"/>
    </w:rPr>
  </w:style>
  <w:style w:type="paragraph" w:styleId="Index6">
    <w:name w:val="index 6"/>
    <w:basedOn w:val="Normal"/>
    <w:next w:val="Normal"/>
    <w:autoRedefine/>
    <w:semiHidden/>
    <w:rsid w:val="00514066"/>
    <w:pPr>
      <w:spacing w:after="0" w:line="312" w:lineRule="auto"/>
      <w:ind w:left="1140" w:hanging="190"/>
    </w:pPr>
    <w:rPr>
      <w:rFonts w:ascii="Arial" w:eastAsia="Calibri" w:hAnsi="Arial" w:cs="Times New Roman"/>
      <w:spacing w:val="3"/>
      <w:kern w:val="0"/>
      <w:sz w:val="19"/>
      <w14:ligatures w14:val="none"/>
    </w:rPr>
  </w:style>
  <w:style w:type="paragraph" w:styleId="Index7">
    <w:name w:val="index 7"/>
    <w:basedOn w:val="Normal"/>
    <w:next w:val="Normal"/>
    <w:autoRedefine/>
    <w:semiHidden/>
    <w:rsid w:val="00514066"/>
    <w:pPr>
      <w:spacing w:after="0" w:line="312" w:lineRule="auto"/>
      <w:ind w:left="1330" w:hanging="190"/>
    </w:pPr>
    <w:rPr>
      <w:rFonts w:ascii="Arial" w:eastAsia="Calibri" w:hAnsi="Arial" w:cs="Times New Roman"/>
      <w:spacing w:val="3"/>
      <w:kern w:val="0"/>
      <w:sz w:val="19"/>
      <w14:ligatures w14:val="none"/>
    </w:rPr>
  </w:style>
  <w:style w:type="paragraph" w:styleId="Index8">
    <w:name w:val="index 8"/>
    <w:basedOn w:val="Normal"/>
    <w:next w:val="Normal"/>
    <w:autoRedefine/>
    <w:semiHidden/>
    <w:rsid w:val="00514066"/>
    <w:pPr>
      <w:spacing w:after="0" w:line="312" w:lineRule="auto"/>
      <w:ind w:left="1520" w:hanging="190"/>
    </w:pPr>
    <w:rPr>
      <w:rFonts w:ascii="Arial" w:eastAsia="Calibri" w:hAnsi="Arial" w:cs="Times New Roman"/>
      <w:spacing w:val="3"/>
      <w:kern w:val="0"/>
      <w:sz w:val="19"/>
      <w14:ligatures w14:val="none"/>
    </w:rPr>
  </w:style>
  <w:style w:type="paragraph" w:styleId="Index9">
    <w:name w:val="index 9"/>
    <w:basedOn w:val="Normal"/>
    <w:next w:val="Normal"/>
    <w:autoRedefine/>
    <w:semiHidden/>
    <w:rsid w:val="00514066"/>
    <w:pPr>
      <w:spacing w:after="0" w:line="312" w:lineRule="auto"/>
      <w:ind w:left="1710" w:hanging="190"/>
    </w:pPr>
    <w:rPr>
      <w:rFonts w:ascii="Arial" w:eastAsia="Calibri" w:hAnsi="Arial" w:cs="Times New Roman"/>
      <w:spacing w:val="3"/>
      <w:kern w:val="0"/>
      <w:sz w:val="19"/>
      <w14:ligatures w14:val="none"/>
    </w:rPr>
  </w:style>
  <w:style w:type="paragraph" w:styleId="IndexHeading">
    <w:name w:val="index heading"/>
    <w:basedOn w:val="Normal"/>
    <w:next w:val="Index1"/>
    <w:semiHidden/>
    <w:rsid w:val="00514066"/>
    <w:pPr>
      <w:spacing w:after="0" w:line="312" w:lineRule="auto"/>
    </w:pPr>
    <w:rPr>
      <w:rFonts w:ascii="Arial" w:eastAsia="Calibri" w:hAnsi="Arial" w:cs="Arial"/>
      <w:b/>
      <w:bCs/>
      <w:spacing w:val="3"/>
      <w:kern w:val="0"/>
      <w:sz w:val="19"/>
      <w14:ligatures w14:val="none"/>
    </w:rPr>
  </w:style>
  <w:style w:type="character" w:styleId="LineNumber">
    <w:name w:val="line number"/>
    <w:basedOn w:val="DefaultParagraphFont"/>
    <w:semiHidden/>
    <w:rsid w:val="00514066"/>
    <w:rPr>
      <w:lang w:val="nl-NL"/>
    </w:rPr>
  </w:style>
  <w:style w:type="paragraph" w:styleId="List">
    <w:name w:val="List"/>
    <w:basedOn w:val="Normal"/>
    <w:semiHidden/>
    <w:rsid w:val="00514066"/>
    <w:pPr>
      <w:spacing w:after="0" w:line="312" w:lineRule="auto"/>
      <w:ind w:left="283" w:hanging="283"/>
    </w:pPr>
    <w:rPr>
      <w:rFonts w:ascii="Arial" w:eastAsia="Calibri" w:hAnsi="Arial" w:cs="Times New Roman"/>
      <w:spacing w:val="3"/>
      <w:kern w:val="0"/>
      <w:sz w:val="19"/>
      <w14:ligatures w14:val="none"/>
    </w:rPr>
  </w:style>
  <w:style w:type="paragraph" w:styleId="List2">
    <w:name w:val="List 2"/>
    <w:basedOn w:val="Normal"/>
    <w:semiHidden/>
    <w:rsid w:val="00514066"/>
    <w:pPr>
      <w:spacing w:after="0" w:line="312" w:lineRule="auto"/>
      <w:ind w:left="566" w:hanging="283"/>
    </w:pPr>
    <w:rPr>
      <w:rFonts w:ascii="Arial" w:eastAsia="Calibri" w:hAnsi="Arial" w:cs="Times New Roman"/>
      <w:spacing w:val="3"/>
      <w:kern w:val="0"/>
      <w:sz w:val="19"/>
      <w14:ligatures w14:val="none"/>
    </w:rPr>
  </w:style>
  <w:style w:type="paragraph" w:styleId="List3">
    <w:name w:val="List 3"/>
    <w:basedOn w:val="Normal"/>
    <w:semiHidden/>
    <w:rsid w:val="00514066"/>
    <w:pPr>
      <w:spacing w:after="0" w:line="312" w:lineRule="auto"/>
      <w:ind w:left="849" w:hanging="283"/>
    </w:pPr>
    <w:rPr>
      <w:rFonts w:ascii="Arial" w:eastAsia="Calibri" w:hAnsi="Arial" w:cs="Times New Roman"/>
      <w:spacing w:val="3"/>
      <w:kern w:val="0"/>
      <w:sz w:val="19"/>
      <w14:ligatures w14:val="none"/>
    </w:rPr>
  </w:style>
  <w:style w:type="paragraph" w:styleId="List4">
    <w:name w:val="List 4"/>
    <w:basedOn w:val="Normal"/>
    <w:semiHidden/>
    <w:rsid w:val="00514066"/>
    <w:pPr>
      <w:spacing w:after="0" w:line="312" w:lineRule="auto"/>
      <w:ind w:left="1132" w:hanging="283"/>
    </w:pPr>
    <w:rPr>
      <w:rFonts w:ascii="Arial" w:eastAsia="Calibri" w:hAnsi="Arial" w:cs="Times New Roman"/>
      <w:spacing w:val="3"/>
      <w:kern w:val="0"/>
      <w:sz w:val="19"/>
      <w14:ligatures w14:val="none"/>
    </w:rPr>
  </w:style>
  <w:style w:type="paragraph" w:styleId="List5">
    <w:name w:val="List 5"/>
    <w:basedOn w:val="Normal"/>
    <w:semiHidden/>
    <w:rsid w:val="00514066"/>
    <w:pPr>
      <w:spacing w:after="0" w:line="312" w:lineRule="auto"/>
      <w:ind w:left="1415" w:hanging="283"/>
    </w:pPr>
    <w:rPr>
      <w:rFonts w:ascii="Arial" w:eastAsia="Calibri" w:hAnsi="Arial" w:cs="Times New Roman"/>
      <w:spacing w:val="3"/>
      <w:kern w:val="0"/>
      <w:sz w:val="19"/>
      <w14:ligatures w14:val="none"/>
    </w:rPr>
  </w:style>
  <w:style w:type="paragraph" w:styleId="ListBullet">
    <w:name w:val="List Bullet"/>
    <w:basedOn w:val="Normal"/>
    <w:semiHidden/>
    <w:rsid w:val="00514066"/>
    <w:pPr>
      <w:tabs>
        <w:tab w:val="num" w:pos="360"/>
      </w:tabs>
      <w:spacing w:after="0" w:line="312" w:lineRule="auto"/>
      <w:ind w:left="360" w:hanging="360"/>
    </w:pPr>
    <w:rPr>
      <w:rFonts w:ascii="Arial" w:eastAsia="Calibri" w:hAnsi="Arial" w:cs="Times New Roman"/>
      <w:spacing w:val="3"/>
      <w:kern w:val="0"/>
      <w:sz w:val="19"/>
      <w14:ligatures w14:val="none"/>
    </w:rPr>
  </w:style>
  <w:style w:type="paragraph" w:styleId="ListBullet2">
    <w:name w:val="List Bullet 2"/>
    <w:basedOn w:val="Normal"/>
    <w:semiHidden/>
    <w:rsid w:val="00514066"/>
    <w:pPr>
      <w:tabs>
        <w:tab w:val="num" w:pos="643"/>
      </w:tabs>
      <w:spacing w:after="0" w:line="312" w:lineRule="auto"/>
      <w:ind w:left="643" w:hanging="360"/>
    </w:pPr>
    <w:rPr>
      <w:rFonts w:ascii="Arial" w:eastAsia="Calibri" w:hAnsi="Arial" w:cs="Times New Roman"/>
      <w:spacing w:val="3"/>
      <w:kern w:val="0"/>
      <w:sz w:val="19"/>
      <w14:ligatures w14:val="none"/>
    </w:rPr>
  </w:style>
  <w:style w:type="paragraph" w:styleId="ListBullet3">
    <w:name w:val="List Bullet 3"/>
    <w:basedOn w:val="Normal"/>
    <w:semiHidden/>
    <w:rsid w:val="00514066"/>
    <w:pPr>
      <w:tabs>
        <w:tab w:val="num" w:pos="926"/>
      </w:tabs>
      <w:spacing w:after="0" w:line="312" w:lineRule="auto"/>
      <w:ind w:left="926" w:hanging="360"/>
    </w:pPr>
    <w:rPr>
      <w:rFonts w:ascii="Arial" w:eastAsia="Calibri" w:hAnsi="Arial" w:cs="Times New Roman"/>
      <w:spacing w:val="3"/>
      <w:kern w:val="0"/>
      <w:sz w:val="19"/>
      <w14:ligatures w14:val="none"/>
    </w:rPr>
  </w:style>
  <w:style w:type="paragraph" w:styleId="ListBullet4">
    <w:name w:val="List Bullet 4"/>
    <w:basedOn w:val="Normal"/>
    <w:semiHidden/>
    <w:rsid w:val="00514066"/>
    <w:pPr>
      <w:tabs>
        <w:tab w:val="num" w:pos="1209"/>
      </w:tabs>
      <w:spacing w:after="0" w:line="312" w:lineRule="auto"/>
      <w:ind w:left="1209" w:hanging="360"/>
    </w:pPr>
    <w:rPr>
      <w:rFonts w:ascii="Arial" w:eastAsia="Calibri" w:hAnsi="Arial" w:cs="Times New Roman"/>
      <w:spacing w:val="3"/>
      <w:kern w:val="0"/>
      <w:sz w:val="19"/>
      <w14:ligatures w14:val="none"/>
    </w:rPr>
  </w:style>
  <w:style w:type="paragraph" w:styleId="ListBullet5">
    <w:name w:val="List Bullet 5"/>
    <w:basedOn w:val="Normal"/>
    <w:semiHidden/>
    <w:rsid w:val="00514066"/>
    <w:pPr>
      <w:tabs>
        <w:tab w:val="num" w:pos="1492"/>
      </w:tabs>
      <w:spacing w:after="0" w:line="312" w:lineRule="auto"/>
      <w:ind w:left="1492" w:hanging="360"/>
    </w:pPr>
    <w:rPr>
      <w:rFonts w:ascii="Arial" w:eastAsia="Calibri" w:hAnsi="Arial" w:cs="Times New Roman"/>
      <w:spacing w:val="3"/>
      <w:kern w:val="0"/>
      <w:sz w:val="19"/>
      <w14:ligatures w14:val="none"/>
    </w:rPr>
  </w:style>
  <w:style w:type="paragraph" w:styleId="ListContinue">
    <w:name w:val="List Continue"/>
    <w:basedOn w:val="Normal"/>
    <w:semiHidden/>
    <w:rsid w:val="00514066"/>
    <w:pPr>
      <w:spacing w:after="120" w:line="312" w:lineRule="auto"/>
      <w:ind w:left="283"/>
    </w:pPr>
    <w:rPr>
      <w:rFonts w:ascii="Arial" w:eastAsia="Calibri" w:hAnsi="Arial" w:cs="Times New Roman"/>
      <w:spacing w:val="3"/>
      <w:kern w:val="0"/>
      <w:sz w:val="19"/>
      <w14:ligatures w14:val="none"/>
    </w:rPr>
  </w:style>
  <w:style w:type="paragraph" w:styleId="ListContinue2">
    <w:name w:val="List Continue 2"/>
    <w:basedOn w:val="Normal"/>
    <w:semiHidden/>
    <w:rsid w:val="00514066"/>
    <w:pPr>
      <w:spacing w:after="120" w:line="312" w:lineRule="auto"/>
      <w:ind w:left="566"/>
    </w:pPr>
    <w:rPr>
      <w:rFonts w:ascii="Arial" w:eastAsia="Calibri" w:hAnsi="Arial" w:cs="Times New Roman"/>
      <w:spacing w:val="3"/>
      <w:kern w:val="0"/>
      <w:sz w:val="19"/>
      <w14:ligatures w14:val="none"/>
    </w:rPr>
  </w:style>
  <w:style w:type="paragraph" w:styleId="ListContinue3">
    <w:name w:val="List Continue 3"/>
    <w:basedOn w:val="Normal"/>
    <w:semiHidden/>
    <w:rsid w:val="00514066"/>
    <w:pPr>
      <w:spacing w:after="120" w:line="312" w:lineRule="auto"/>
      <w:ind w:left="849"/>
    </w:pPr>
    <w:rPr>
      <w:rFonts w:ascii="Arial" w:eastAsia="Calibri" w:hAnsi="Arial" w:cs="Times New Roman"/>
      <w:spacing w:val="3"/>
      <w:kern w:val="0"/>
      <w:sz w:val="19"/>
      <w14:ligatures w14:val="none"/>
    </w:rPr>
  </w:style>
  <w:style w:type="paragraph" w:styleId="ListContinue4">
    <w:name w:val="List Continue 4"/>
    <w:basedOn w:val="Normal"/>
    <w:semiHidden/>
    <w:rsid w:val="00514066"/>
    <w:pPr>
      <w:spacing w:after="120" w:line="312" w:lineRule="auto"/>
      <w:ind w:left="1132"/>
    </w:pPr>
    <w:rPr>
      <w:rFonts w:ascii="Arial" w:eastAsia="Calibri" w:hAnsi="Arial" w:cs="Times New Roman"/>
      <w:spacing w:val="3"/>
      <w:kern w:val="0"/>
      <w:sz w:val="19"/>
      <w14:ligatures w14:val="none"/>
    </w:rPr>
  </w:style>
  <w:style w:type="paragraph" w:styleId="ListContinue5">
    <w:name w:val="List Continue 5"/>
    <w:basedOn w:val="Normal"/>
    <w:semiHidden/>
    <w:rsid w:val="00514066"/>
    <w:pPr>
      <w:spacing w:after="120" w:line="312" w:lineRule="auto"/>
      <w:ind w:left="1415"/>
    </w:pPr>
    <w:rPr>
      <w:rFonts w:ascii="Arial" w:eastAsia="Calibri" w:hAnsi="Arial" w:cs="Times New Roman"/>
      <w:spacing w:val="3"/>
      <w:kern w:val="0"/>
      <w:sz w:val="19"/>
      <w14:ligatures w14:val="none"/>
    </w:rPr>
  </w:style>
  <w:style w:type="paragraph" w:styleId="ListNumber">
    <w:name w:val="List Number"/>
    <w:basedOn w:val="Normal"/>
    <w:semiHidden/>
    <w:rsid w:val="00514066"/>
    <w:pPr>
      <w:tabs>
        <w:tab w:val="num" w:pos="360"/>
      </w:tabs>
      <w:spacing w:after="0" w:line="312" w:lineRule="auto"/>
      <w:ind w:left="360" w:hanging="360"/>
    </w:pPr>
    <w:rPr>
      <w:rFonts w:ascii="Arial" w:eastAsia="Calibri" w:hAnsi="Arial" w:cs="Times New Roman"/>
      <w:spacing w:val="3"/>
      <w:kern w:val="0"/>
      <w:sz w:val="19"/>
      <w14:ligatures w14:val="none"/>
    </w:rPr>
  </w:style>
  <w:style w:type="paragraph" w:styleId="ListNumber2">
    <w:name w:val="List Number 2"/>
    <w:basedOn w:val="Normal"/>
    <w:semiHidden/>
    <w:rsid w:val="00514066"/>
    <w:pPr>
      <w:tabs>
        <w:tab w:val="num" w:pos="643"/>
      </w:tabs>
      <w:spacing w:after="0" w:line="312" w:lineRule="auto"/>
      <w:ind w:left="643" w:hanging="360"/>
    </w:pPr>
    <w:rPr>
      <w:rFonts w:ascii="Arial" w:eastAsia="Calibri" w:hAnsi="Arial" w:cs="Times New Roman"/>
      <w:spacing w:val="3"/>
      <w:kern w:val="0"/>
      <w:sz w:val="19"/>
      <w14:ligatures w14:val="none"/>
    </w:rPr>
  </w:style>
  <w:style w:type="paragraph" w:styleId="ListNumber3">
    <w:name w:val="List Number 3"/>
    <w:basedOn w:val="Normal"/>
    <w:semiHidden/>
    <w:rsid w:val="00514066"/>
    <w:pPr>
      <w:tabs>
        <w:tab w:val="num" w:pos="926"/>
      </w:tabs>
      <w:spacing w:after="0" w:line="312" w:lineRule="auto"/>
      <w:ind w:left="926" w:hanging="360"/>
    </w:pPr>
    <w:rPr>
      <w:rFonts w:ascii="Arial" w:eastAsia="Calibri" w:hAnsi="Arial" w:cs="Times New Roman"/>
      <w:spacing w:val="3"/>
      <w:kern w:val="0"/>
      <w:sz w:val="19"/>
      <w14:ligatures w14:val="none"/>
    </w:rPr>
  </w:style>
  <w:style w:type="paragraph" w:styleId="ListNumber4">
    <w:name w:val="List Number 4"/>
    <w:basedOn w:val="Normal"/>
    <w:semiHidden/>
    <w:rsid w:val="00514066"/>
    <w:pPr>
      <w:tabs>
        <w:tab w:val="num" w:pos="1209"/>
      </w:tabs>
      <w:spacing w:after="0" w:line="312" w:lineRule="auto"/>
      <w:ind w:left="1209" w:hanging="360"/>
    </w:pPr>
    <w:rPr>
      <w:rFonts w:ascii="Arial" w:eastAsia="Calibri" w:hAnsi="Arial" w:cs="Times New Roman"/>
      <w:spacing w:val="3"/>
      <w:kern w:val="0"/>
      <w:sz w:val="19"/>
      <w14:ligatures w14:val="none"/>
    </w:rPr>
  </w:style>
  <w:style w:type="paragraph" w:styleId="ListNumber5">
    <w:name w:val="List Number 5"/>
    <w:basedOn w:val="Normal"/>
    <w:semiHidden/>
    <w:rsid w:val="00514066"/>
    <w:pPr>
      <w:tabs>
        <w:tab w:val="num" w:pos="1492"/>
      </w:tabs>
      <w:spacing w:after="0" w:line="312" w:lineRule="auto"/>
      <w:ind w:left="1492" w:hanging="360"/>
    </w:pPr>
    <w:rPr>
      <w:rFonts w:ascii="Arial" w:eastAsia="Calibri" w:hAnsi="Arial" w:cs="Times New Roman"/>
      <w:spacing w:val="3"/>
      <w:kern w:val="0"/>
      <w:sz w:val="19"/>
      <w14:ligatures w14:val="none"/>
    </w:rPr>
  </w:style>
  <w:style w:type="paragraph" w:styleId="MacroText">
    <w:name w:val="macro"/>
    <w:link w:val="MacroTextChar"/>
    <w:semiHidden/>
    <w:rsid w:val="00514066"/>
    <w:pPr>
      <w:tabs>
        <w:tab w:val="left" w:pos="480"/>
        <w:tab w:val="left" w:pos="960"/>
        <w:tab w:val="left" w:pos="1440"/>
        <w:tab w:val="left" w:pos="1920"/>
        <w:tab w:val="left" w:pos="2400"/>
        <w:tab w:val="left" w:pos="2880"/>
        <w:tab w:val="left" w:pos="3360"/>
        <w:tab w:val="left" w:pos="3840"/>
        <w:tab w:val="left" w:pos="4320"/>
      </w:tabs>
      <w:spacing w:after="0" w:line="283" w:lineRule="atLeast"/>
    </w:pPr>
    <w:rPr>
      <w:rFonts w:ascii="Courier New" w:eastAsia="Calibri" w:hAnsi="Courier New" w:cs="Courier New"/>
      <w:spacing w:val="3"/>
      <w:kern w:val="0"/>
      <w:sz w:val="20"/>
      <w:szCs w:val="20"/>
      <w14:ligatures w14:val="none"/>
    </w:rPr>
  </w:style>
  <w:style w:type="character" w:customStyle="1" w:styleId="MacroTextChar">
    <w:name w:val="Macro Text Char"/>
    <w:basedOn w:val="DefaultParagraphFont"/>
    <w:link w:val="MacroText"/>
    <w:semiHidden/>
    <w:rsid w:val="00514066"/>
    <w:rPr>
      <w:rFonts w:ascii="Courier New" w:eastAsia="Calibri" w:hAnsi="Courier New" w:cs="Courier New"/>
      <w:spacing w:val="3"/>
      <w:kern w:val="0"/>
      <w:sz w:val="20"/>
      <w:szCs w:val="20"/>
      <w14:ligatures w14:val="none"/>
    </w:rPr>
  </w:style>
  <w:style w:type="paragraph" w:styleId="MessageHeader">
    <w:name w:val="Message Header"/>
    <w:basedOn w:val="Normal"/>
    <w:link w:val="MessageHeaderChar"/>
    <w:semiHidden/>
    <w:rsid w:val="00514066"/>
    <w:pPr>
      <w:pBdr>
        <w:top w:val="single" w:sz="6" w:space="1" w:color="auto"/>
        <w:left w:val="single" w:sz="6" w:space="1" w:color="auto"/>
        <w:bottom w:val="single" w:sz="6" w:space="1" w:color="auto"/>
        <w:right w:val="single" w:sz="6" w:space="1" w:color="auto"/>
      </w:pBdr>
      <w:shd w:val="pct20" w:color="auto" w:fill="auto"/>
      <w:spacing w:after="0" w:line="312" w:lineRule="auto"/>
      <w:ind w:left="1134" w:hanging="1134"/>
    </w:pPr>
    <w:rPr>
      <w:rFonts w:ascii="Arial" w:eastAsia="Calibri" w:hAnsi="Arial" w:cs="Arial"/>
      <w:spacing w:val="3"/>
      <w:kern w:val="0"/>
      <w:sz w:val="24"/>
      <w:szCs w:val="24"/>
      <w14:ligatures w14:val="none"/>
    </w:rPr>
  </w:style>
  <w:style w:type="character" w:customStyle="1" w:styleId="MessageHeaderChar">
    <w:name w:val="Message Header Char"/>
    <w:basedOn w:val="DefaultParagraphFont"/>
    <w:link w:val="MessageHeader"/>
    <w:semiHidden/>
    <w:rsid w:val="00514066"/>
    <w:rPr>
      <w:rFonts w:ascii="Arial" w:eastAsia="Calibri" w:hAnsi="Arial" w:cs="Arial"/>
      <w:spacing w:val="3"/>
      <w:kern w:val="0"/>
      <w:sz w:val="24"/>
      <w:szCs w:val="24"/>
      <w:shd w:val="pct20" w:color="auto" w:fill="auto"/>
      <w14:ligatures w14:val="none"/>
    </w:rPr>
  </w:style>
  <w:style w:type="paragraph" w:styleId="NormalWeb">
    <w:name w:val="Normal (Web)"/>
    <w:basedOn w:val="Normal"/>
    <w:semiHidden/>
    <w:rsid w:val="00514066"/>
    <w:pPr>
      <w:spacing w:after="0" w:line="312" w:lineRule="auto"/>
    </w:pPr>
    <w:rPr>
      <w:rFonts w:ascii="Times New Roman" w:eastAsia="Calibri" w:hAnsi="Times New Roman" w:cs="Times New Roman"/>
      <w:spacing w:val="3"/>
      <w:kern w:val="0"/>
      <w:sz w:val="24"/>
      <w:szCs w:val="24"/>
      <w14:ligatures w14:val="none"/>
    </w:rPr>
  </w:style>
  <w:style w:type="paragraph" w:styleId="NormalIndent">
    <w:name w:val="Normal Indent"/>
    <w:basedOn w:val="Normal"/>
    <w:semiHidden/>
    <w:rsid w:val="00514066"/>
    <w:pPr>
      <w:spacing w:after="0" w:line="312" w:lineRule="auto"/>
      <w:ind w:left="708"/>
    </w:pPr>
    <w:rPr>
      <w:rFonts w:ascii="Arial" w:eastAsia="Calibri" w:hAnsi="Arial" w:cs="Times New Roman"/>
      <w:spacing w:val="3"/>
      <w:kern w:val="0"/>
      <w:sz w:val="19"/>
      <w14:ligatures w14:val="none"/>
    </w:rPr>
  </w:style>
  <w:style w:type="paragraph" w:styleId="NoteHeading">
    <w:name w:val="Note Heading"/>
    <w:basedOn w:val="Normal"/>
    <w:next w:val="Normal"/>
    <w:link w:val="NoteHeadingChar"/>
    <w:semiHidden/>
    <w:rsid w:val="00514066"/>
    <w:pPr>
      <w:spacing w:after="0" w:line="312" w:lineRule="auto"/>
    </w:pPr>
    <w:rPr>
      <w:rFonts w:ascii="Arial" w:eastAsia="Calibri" w:hAnsi="Arial" w:cs="Times New Roman"/>
      <w:spacing w:val="3"/>
      <w:kern w:val="0"/>
      <w:sz w:val="19"/>
      <w14:ligatures w14:val="none"/>
    </w:rPr>
  </w:style>
  <w:style w:type="character" w:customStyle="1" w:styleId="NoteHeadingChar">
    <w:name w:val="Note Heading Char"/>
    <w:basedOn w:val="DefaultParagraphFont"/>
    <w:link w:val="NoteHeading"/>
    <w:semiHidden/>
    <w:rsid w:val="00514066"/>
    <w:rPr>
      <w:rFonts w:ascii="Arial" w:eastAsia="Calibri" w:hAnsi="Arial" w:cs="Times New Roman"/>
      <w:spacing w:val="3"/>
      <w:kern w:val="0"/>
      <w:sz w:val="19"/>
      <w14:ligatures w14:val="none"/>
    </w:rPr>
  </w:style>
  <w:style w:type="character" w:styleId="PageNumber">
    <w:name w:val="page number"/>
    <w:basedOn w:val="DefaultParagraphFont"/>
    <w:semiHidden/>
    <w:rsid w:val="00514066"/>
    <w:rPr>
      <w:lang w:val="nl-NL"/>
    </w:rPr>
  </w:style>
  <w:style w:type="paragraph" w:styleId="PlainText">
    <w:name w:val="Plain Text"/>
    <w:basedOn w:val="Normal"/>
    <w:link w:val="PlainTextChar"/>
    <w:semiHidden/>
    <w:rsid w:val="00514066"/>
    <w:pPr>
      <w:spacing w:after="0" w:line="312" w:lineRule="auto"/>
    </w:pPr>
    <w:rPr>
      <w:rFonts w:ascii="Courier New" w:eastAsia="Calibri" w:hAnsi="Courier New" w:cs="Courier New"/>
      <w:spacing w:val="3"/>
      <w:kern w:val="0"/>
      <w:sz w:val="20"/>
      <w:szCs w:val="20"/>
      <w14:ligatures w14:val="none"/>
    </w:rPr>
  </w:style>
  <w:style w:type="character" w:customStyle="1" w:styleId="PlainTextChar">
    <w:name w:val="Plain Text Char"/>
    <w:basedOn w:val="DefaultParagraphFont"/>
    <w:link w:val="PlainText"/>
    <w:semiHidden/>
    <w:rsid w:val="00514066"/>
    <w:rPr>
      <w:rFonts w:ascii="Courier New" w:eastAsia="Calibri" w:hAnsi="Courier New" w:cs="Courier New"/>
      <w:spacing w:val="3"/>
      <w:kern w:val="0"/>
      <w:sz w:val="20"/>
      <w:szCs w:val="20"/>
      <w14:ligatures w14:val="none"/>
    </w:rPr>
  </w:style>
  <w:style w:type="paragraph" w:styleId="Salutation">
    <w:name w:val="Salutation"/>
    <w:basedOn w:val="Normal"/>
    <w:next w:val="Normal"/>
    <w:link w:val="SalutationChar"/>
    <w:semiHidden/>
    <w:rsid w:val="00514066"/>
    <w:pPr>
      <w:spacing w:after="0" w:line="312" w:lineRule="auto"/>
    </w:pPr>
    <w:rPr>
      <w:rFonts w:ascii="Arial" w:eastAsia="Calibri" w:hAnsi="Arial" w:cs="Times New Roman"/>
      <w:spacing w:val="3"/>
      <w:kern w:val="0"/>
      <w:sz w:val="19"/>
      <w14:ligatures w14:val="none"/>
    </w:rPr>
  </w:style>
  <w:style w:type="character" w:customStyle="1" w:styleId="SalutationChar">
    <w:name w:val="Salutation Char"/>
    <w:basedOn w:val="DefaultParagraphFont"/>
    <w:link w:val="Salutation"/>
    <w:semiHidden/>
    <w:rsid w:val="00514066"/>
    <w:rPr>
      <w:rFonts w:ascii="Arial" w:eastAsia="Calibri" w:hAnsi="Arial" w:cs="Times New Roman"/>
      <w:spacing w:val="3"/>
      <w:kern w:val="0"/>
      <w:sz w:val="19"/>
      <w14:ligatures w14:val="none"/>
    </w:rPr>
  </w:style>
  <w:style w:type="paragraph" w:styleId="Signature">
    <w:name w:val="Signature"/>
    <w:basedOn w:val="Normal"/>
    <w:link w:val="SignatureChar"/>
    <w:semiHidden/>
    <w:rsid w:val="00514066"/>
    <w:pPr>
      <w:spacing w:after="0" w:line="312" w:lineRule="auto"/>
      <w:ind w:left="4252"/>
    </w:pPr>
    <w:rPr>
      <w:rFonts w:ascii="Arial" w:eastAsia="Calibri" w:hAnsi="Arial" w:cs="Times New Roman"/>
      <w:spacing w:val="3"/>
      <w:kern w:val="0"/>
      <w:sz w:val="19"/>
      <w14:ligatures w14:val="none"/>
    </w:rPr>
  </w:style>
  <w:style w:type="character" w:customStyle="1" w:styleId="SignatureChar">
    <w:name w:val="Signature Char"/>
    <w:basedOn w:val="DefaultParagraphFont"/>
    <w:link w:val="Signature"/>
    <w:semiHidden/>
    <w:rsid w:val="00514066"/>
    <w:rPr>
      <w:rFonts w:ascii="Arial" w:eastAsia="Calibri" w:hAnsi="Arial" w:cs="Times New Roman"/>
      <w:spacing w:val="3"/>
      <w:kern w:val="0"/>
      <w:sz w:val="19"/>
      <w14:ligatures w14:val="none"/>
    </w:rPr>
  </w:style>
  <w:style w:type="character" w:styleId="Strong">
    <w:name w:val="Strong"/>
    <w:basedOn w:val="DefaultParagraphFont"/>
    <w:qFormat/>
    <w:rsid w:val="00514066"/>
    <w:rPr>
      <w:b/>
      <w:bCs/>
      <w:lang w:val="nl-NL"/>
    </w:rPr>
  </w:style>
  <w:style w:type="paragraph" w:styleId="Subtitle">
    <w:name w:val="Subtitle"/>
    <w:basedOn w:val="Normal"/>
    <w:link w:val="SubtitleChar"/>
    <w:qFormat/>
    <w:rsid w:val="00514066"/>
    <w:pPr>
      <w:spacing w:after="60" w:line="312" w:lineRule="auto"/>
      <w:jc w:val="center"/>
      <w:outlineLvl w:val="1"/>
    </w:pPr>
    <w:rPr>
      <w:rFonts w:ascii="Arial" w:eastAsia="Calibri" w:hAnsi="Arial" w:cs="Arial"/>
      <w:spacing w:val="3"/>
      <w:kern w:val="0"/>
      <w:sz w:val="24"/>
      <w:szCs w:val="24"/>
      <w14:ligatures w14:val="none"/>
    </w:rPr>
  </w:style>
  <w:style w:type="character" w:customStyle="1" w:styleId="SubtitleChar">
    <w:name w:val="Subtitle Char"/>
    <w:basedOn w:val="DefaultParagraphFont"/>
    <w:link w:val="Subtitle"/>
    <w:rsid w:val="00514066"/>
    <w:rPr>
      <w:rFonts w:ascii="Arial" w:eastAsia="Calibri" w:hAnsi="Arial" w:cs="Arial"/>
      <w:spacing w:val="3"/>
      <w:kern w:val="0"/>
      <w:sz w:val="24"/>
      <w:szCs w:val="24"/>
      <w14:ligatures w14:val="none"/>
    </w:rPr>
  </w:style>
  <w:style w:type="table" w:styleId="Table3Deffects1">
    <w:name w:val="Table 3D effects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14066"/>
    <w:pPr>
      <w:spacing w:after="0" w:line="283" w:lineRule="atLeast"/>
    </w:pPr>
    <w:rPr>
      <w:rFonts w:ascii="Times New Roman" w:eastAsia="Times New Roman" w:hAnsi="Times New Roman" w:cs="Times New Roman"/>
      <w:color w:val="000080"/>
      <w:kern w:val="0"/>
      <w:sz w:val="20"/>
      <w:szCs w:val="20"/>
      <w:lang w:val="en-US"/>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14066"/>
    <w:pPr>
      <w:spacing w:after="0" w:line="283" w:lineRule="atLeast"/>
    </w:pPr>
    <w:rPr>
      <w:rFonts w:ascii="Times New Roman" w:eastAsia="Times New Roman" w:hAnsi="Times New Roman" w:cs="Times New Roman"/>
      <w:color w:val="FFFFFF"/>
      <w:kern w:val="0"/>
      <w:sz w:val="20"/>
      <w:szCs w:val="20"/>
      <w:lang w:val="en-US"/>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14066"/>
    <w:pPr>
      <w:spacing w:after="0" w:line="283" w:lineRule="atLeast"/>
    </w:pPr>
    <w:rPr>
      <w:rFonts w:ascii="Times New Roman" w:eastAsia="Times New Roman" w:hAnsi="Times New Roman" w:cs="Times New Roman"/>
      <w:b/>
      <w:bCs/>
      <w:kern w:val="0"/>
      <w:sz w:val="20"/>
      <w:szCs w:val="20"/>
      <w:lang w:val="en-US"/>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4066"/>
    <w:pPr>
      <w:spacing w:after="0" w:line="283" w:lineRule="atLeast"/>
    </w:pPr>
    <w:rPr>
      <w:rFonts w:ascii="Times New Roman" w:eastAsia="Times New Roman" w:hAnsi="Times New Roman" w:cs="Times New Roman"/>
      <w:b/>
      <w:bCs/>
      <w:kern w:val="0"/>
      <w:sz w:val="20"/>
      <w:szCs w:val="20"/>
      <w:lang w:val="en-US"/>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4066"/>
    <w:pPr>
      <w:spacing w:after="0" w:line="283" w:lineRule="atLeast"/>
    </w:pPr>
    <w:rPr>
      <w:rFonts w:ascii="Times New Roman" w:eastAsia="Times New Roman" w:hAnsi="Times New Roman" w:cs="Times New Roman"/>
      <w:b/>
      <w:bCs/>
      <w:kern w:val="0"/>
      <w:sz w:val="20"/>
      <w:szCs w:val="20"/>
      <w:lang w:val="en-US"/>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4066"/>
    <w:pPr>
      <w:spacing w:after="0" w:line="283" w:lineRule="atLeast"/>
    </w:pPr>
    <w:rPr>
      <w:rFonts w:ascii="Times New Roman" w:eastAsia="Times New Roman" w:hAnsi="Times New Roman" w:cs="Times New Roman"/>
      <w:b/>
      <w:bCs/>
      <w:kern w:val="0"/>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14066"/>
    <w:pPr>
      <w:spacing w:after="0" w:line="312" w:lineRule="auto"/>
      <w:ind w:left="190" w:hanging="190"/>
    </w:pPr>
    <w:rPr>
      <w:rFonts w:ascii="Arial" w:eastAsia="Calibri" w:hAnsi="Arial" w:cs="Times New Roman"/>
      <w:spacing w:val="3"/>
      <w:kern w:val="0"/>
      <w:sz w:val="19"/>
      <w14:ligatures w14:val="none"/>
    </w:rPr>
  </w:style>
  <w:style w:type="paragraph" w:styleId="TableofFigures">
    <w:name w:val="table of figures"/>
    <w:basedOn w:val="Normal"/>
    <w:next w:val="Normal"/>
    <w:semiHidden/>
    <w:rsid w:val="00514066"/>
    <w:pPr>
      <w:spacing w:after="0" w:line="312" w:lineRule="auto"/>
    </w:pPr>
    <w:rPr>
      <w:rFonts w:ascii="Arial" w:eastAsia="Calibri" w:hAnsi="Arial" w:cs="Times New Roman"/>
      <w:spacing w:val="3"/>
      <w:kern w:val="0"/>
      <w:sz w:val="19"/>
      <w14:ligatures w14:val="none"/>
    </w:rPr>
  </w:style>
  <w:style w:type="table" w:styleId="TableProfessional">
    <w:name w:val="Table Professional"/>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14066"/>
    <w:pPr>
      <w:spacing w:after="0" w:line="283" w:lineRule="atLeast"/>
    </w:pPr>
    <w:rPr>
      <w:rFonts w:ascii="Times New Roman" w:eastAsia="Times New Roman" w:hAnsi="Times New Roman" w:cs="Times New Roman"/>
      <w:kern w:val="0"/>
      <w:sz w:val="20"/>
      <w:szCs w:val="20"/>
      <w:lang w:val="en-US"/>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14066"/>
    <w:pPr>
      <w:spacing w:before="240" w:after="60" w:line="312" w:lineRule="auto"/>
      <w:jc w:val="center"/>
      <w:outlineLvl w:val="0"/>
    </w:pPr>
    <w:rPr>
      <w:rFonts w:ascii="Arial" w:eastAsia="Calibri" w:hAnsi="Arial" w:cs="Arial"/>
      <w:b/>
      <w:bCs/>
      <w:spacing w:val="3"/>
      <w:kern w:val="28"/>
      <w:sz w:val="32"/>
      <w:szCs w:val="32"/>
      <w14:ligatures w14:val="none"/>
    </w:rPr>
  </w:style>
  <w:style w:type="character" w:customStyle="1" w:styleId="TitleChar">
    <w:name w:val="Title Char"/>
    <w:basedOn w:val="DefaultParagraphFont"/>
    <w:link w:val="Title"/>
    <w:rsid w:val="00514066"/>
    <w:rPr>
      <w:rFonts w:ascii="Arial" w:eastAsia="Calibri" w:hAnsi="Arial" w:cs="Arial"/>
      <w:b/>
      <w:bCs/>
      <w:spacing w:val="3"/>
      <w:kern w:val="28"/>
      <w:sz w:val="32"/>
      <w:szCs w:val="32"/>
      <w14:ligatures w14:val="none"/>
    </w:rPr>
  </w:style>
  <w:style w:type="paragraph" w:styleId="TOAHeading">
    <w:name w:val="toa heading"/>
    <w:basedOn w:val="Normal"/>
    <w:next w:val="Normal"/>
    <w:semiHidden/>
    <w:rsid w:val="00514066"/>
    <w:pPr>
      <w:spacing w:before="120" w:after="0" w:line="312" w:lineRule="auto"/>
    </w:pPr>
    <w:rPr>
      <w:rFonts w:ascii="Arial" w:eastAsia="Calibri" w:hAnsi="Arial" w:cs="Arial"/>
      <w:b/>
      <w:bCs/>
      <w:spacing w:val="3"/>
      <w:kern w:val="0"/>
      <w:sz w:val="24"/>
      <w:szCs w:val="24"/>
      <w14:ligatures w14:val="none"/>
    </w:rPr>
  </w:style>
  <w:style w:type="paragraph" w:styleId="TOC4">
    <w:name w:val="toc 4"/>
    <w:basedOn w:val="Normal"/>
    <w:next w:val="Normal"/>
    <w:uiPriority w:val="39"/>
    <w:rsid w:val="00514066"/>
    <w:pPr>
      <w:tabs>
        <w:tab w:val="left" w:pos="1701"/>
        <w:tab w:val="right" w:leader="dot" w:pos="8573"/>
      </w:tabs>
      <w:spacing w:after="40" w:line="312" w:lineRule="auto"/>
      <w:ind w:left="2127" w:hanging="709"/>
    </w:pPr>
    <w:rPr>
      <w:rFonts w:ascii="Arial" w:eastAsia="Calibri" w:hAnsi="Arial" w:cs="Times New Roman"/>
      <w:spacing w:val="3"/>
      <w:kern w:val="0"/>
      <w:sz w:val="19"/>
      <w:lang w:val="en-GB"/>
      <w14:ligatures w14:val="none"/>
    </w:rPr>
  </w:style>
  <w:style w:type="paragraph" w:styleId="TOC5">
    <w:name w:val="toc 5"/>
    <w:basedOn w:val="Normal"/>
    <w:next w:val="Normal"/>
    <w:rsid w:val="00514066"/>
    <w:pPr>
      <w:tabs>
        <w:tab w:val="right" w:leader="dot" w:pos="8573"/>
      </w:tabs>
      <w:spacing w:after="0" w:line="312" w:lineRule="auto"/>
      <w:ind w:left="1418" w:hanging="709"/>
    </w:pPr>
    <w:rPr>
      <w:rFonts w:ascii="Arial" w:eastAsia="Calibri" w:hAnsi="Arial" w:cs="Times New Roman"/>
      <w:noProof/>
      <w:spacing w:val="3"/>
      <w:kern w:val="0"/>
      <w:sz w:val="19"/>
      <w:lang w:val="en-US"/>
      <w14:ligatures w14:val="none"/>
    </w:rPr>
  </w:style>
  <w:style w:type="paragraph" w:styleId="TOC6">
    <w:name w:val="toc 6"/>
    <w:basedOn w:val="Normal"/>
    <w:next w:val="Normal"/>
    <w:autoRedefine/>
    <w:uiPriority w:val="39"/>
    <w:unhideWhenUsed/>
    <w:rsid w:val="00514066"/>
    <w:pPr>
      <w:spacing w:after="100" w:line="312" w:lineRule="auto"/>
      <w:ind w:left="950"/>
    </w:pPr>
    <w:rPr>
      <w:rFonts w:ascii="Arial" w:eastAsia="Calibri" w:hAnsi="Arial" w:cs="Times New Roman"/>
      <w:spacing w:val="3"/>
      <w:kern w:val="0"/>
      <w:sz w:val="19"/>
      <w14:ligatures w14:val="none"/>
    </w:rPr>
  </w:style>
  <w:style w:type="paragraph" w:styleId="TOC7">
    <w:name w:val="toc 7"/>
    <w:basedOn w:val="Normal"/>
    <w:next w:val="Normal"/>
    <w:autoRedefine/>
    <w:semiHidden/>
    <w:rsid w:val="00514066"/>
    <w:pPr>
      <w:spacing w:after="0" w:line="312" w:lineRule="auto"/>
      <w:ind w:left="1140"/>
    </w:pPr>
    <w:rPr>
      <w:rFonts w:ascii="Arial" w:eastAsia="Calibri" w:hAnsi="Arial" w:cs="Times New Roman"/>
      <w:spacing w:val="3"/>
      <w:kern w:val="0"/>
      <w:sz w:val="19"/>
      <w14:ligatures w14:val="none"/>
    </w:rPr>
  </w:style>
  <w:style w:type="paragraph" w:styleId="TOC8">
    <w:name w:val="toc 8"/>
    <w:basedOn w:val="Normal"/>
    <w:next w:val="Normal"/>
    <w:autoRedefine/>
    <w:uiPriority w:val="39"/>
    <w:unhideWhenUsed/>
    <w:rsid w:val="00514066"/>
    <w:pPr>
      <w:spacing w:after="100" w:line="312" w:lineRule="auto"/>
      <w:ind w:left="1330"/>
    </w:pPr>
    <w:rPr>
      <w:rFonts w:ascii="Arial" w:eastAsia="Calibri" w:hAnsi="Arial" w:cs="Times New Roman"/>
      <w:spacing w:val="3"/>
      <w:kern w:val="0"/>
      <w:sz w:val="19"/>
      <w14:ligatures w14:val="none"/>
    </w:rPr>
  </w:style>
  <w:style w:type="paragraph" w:styleId="TOC9">
    <w:name w:val="toc 9"/>
    <w:basedOn w:val="Normal"/>
    <w:next w:val="Normal"/>
    <w:autoRedefine/>
    <w:uiPriority w:val="39"/>
    <w:unhideWhenUsed/>
    <w:rsid w:val="00514066"/>
    <w:pPr>
      <w:tabs>
        <w:tab w:val="left" w:pos="1418"/>
      </w:tabs>
      <w:spacing w:after="40" w:line="312" w:lineRule="auto"/>
      <w:ind w:left="1418" w:hanging="1418"/>
    </w:pPr>
    <w:rPr>
      <w:rFonts w:ascii="Arial" w:eastAsia="Calibri" w:hAnsi="Arial" w:cs="Times New Roman"/>
      <w:spacing w:val="3"/>
      <w:kern w:val="0"/>
      <w:sz w:val="19"/>
      <w14:ligatures w14:val="none"/>
    </w:rPr>
  </w:style>
  <w:style w:type="paragraph" w:customStyle="1" w:styleId="BrauwPartijen">
    <w:name w:val="Brauw Partijen"/>
    <w:basedOn w:val="Normal"/>
    <w:rsid w:val="00514066"/>
    <w:pPr>
      <w:numPr>
        <w:numId w:val="14"/>
      </w:numPr>
      <w:spacing w:after="240" w:line="312" w:lineRule="auto"/>
      <w:jc w:val="both"/>
    </w:pPr>
    <w:rPr>
      <w:rFonts w:ascii="Arial" w:eastAsia="Calibri" w:hAnsi="Arial" w:cs="Times New Roman"/>
      <w:spacing w:val="3"/>
      <w:kern w:val="0"/>
      <w:sz w:val="19"/>
      <w14:ligatures w14:val="none"/>
    </w:rPr>
  </w:style>
  <w:style w:type="paragraph" w:customStyle="1" w:styleId="BrauwOverwegingen">
    <w:name w:val="Brauw Overwegingen"/>
    <w:basedOn w:val="Normal"/>
    <w:rsid w:val="00514066"/>
    <w:pPr>
      <w:numPr>
        <w:numId w:val="13"/>
      </w:numPr>
      <w:spacing w:after="240" w:line="312" w:lineRule="auto"/>
      <w:jc w:val="both"/>
    </w:pPr>
    <w:rPr>
      <w:rFonts w:ascii="Arial" w:eastAsia="Calibri" w:hAnsi="Arial" w:cs="Times New Roman"/>
      <w:spacing w:val="3"/>
      <w:kern w:val="0"/>
      <w:sz w:val="19"/>
      <w14:ligatures w14:val="none"/>
    </w:rPr>
  </w:style>
  <w:style w:type="numbering" w:customStyle="1" w:styleId="Lijst-ovkkoppen">
    <w:name w:val="Lijst-ovkkoppen"/>
    <w:semiHidden/>
    <w:rsid w:val="00514066"/>
    <w:pPr>
      <w:numPr>
        <w:numId w:val="15"/>
      </w:numPr>
    </w:pPr>
  </w:style>
  <w:style w:type="paragraph" w:customStyle="1" w:styleId="BrauwTitle">
    <w:name w:val="Brauw Title"/>
    <w:basedOn w:val="Normal"/>
    <w:rsid w:val="00514066"/>
    <w:pPr>
      <w:spacing w:after="580" w:line="312" w:lineRule="auto"/>
      <w:jc w:val="both"/>
    </w:pPr>
    <w:rPr>
      <w:rFonts w:ascii="Arial" w:eastAsia="Calibri" w:hAnsi="Arial" w:cs="Times New Roman"/>
      <w:b/>
      <w:caps/>
      <w:spacing w:val="3"/>
      <w:kern w:val="0"/>
      <w:sz w:val="24"/>
      <w14:ligatures w14:val="none"/>
    </w:rPr>
  </w:style>
  <w:style w:type="paragraph" w:customStyle="1" w:styleId="BrauwSubtitle">
    <w:name w:val="Brauw Subtitle"/>
    <w:basedOn w:val="BrauwTitle"/>
    <w:rsid w:val="00514066"/>
    <w:pPr>
      <w:spacing w:before="240" w:after="120"/>
    </w:pPr>
    <w:rPr>
      <w:sz w:val="19"/>
    </w:rPr>
  </w:style>
  <w:style w:type="paragraph" w:customStyle="1" w:styleId="BrauwLijstA">
    <w:name w:val="Brauw Lijst A"/>
    <w:basedOn w:val="Standaard0"/>
    <w:rsid w:val="00514066"/>
    <w:pPr>
      <w:numPr>
        <w:numId w:val="11"/>
      </w:numPr>
    </w:pPr>
    <w:rPr>
      <w:rFonts w:eastAsia="Times New Roman" w:cs="Arial"/>
      <w:spacing w:val="0"/>
      <w:szCs w:val="19"/>
    </w:rPr>
  </w:style>
  <w:style w:type="paragraph" w:customStyle="1" w:styleId="BrauwLijstI">
    <w:name w:val="Brauw Lijst I"/>
    <w:basedOn w:val="Standaard0"/>
    <w:rsid w:val="00514066"/>
    <w:pPr>
      <w:numPr>
        <w:numId w:val="12"/>
      </w:numPr>
    </w:pPr>
    <w:rPr>
      <w:rFonts w:eastAsia="Times New Roman" w:cs="Arial"/>
      <w:spacing w:val="0"/>
      <w:szCs w:val="20"/>
    </w:rPr>
  </w:style>
  <w:style w:type="paragraph" w:customStyle="1" w:styleId="Standaard2">
    <w:name w:val="Standaard2"/>
    <w:basedOn w:val="Standaard1"/>
    <w:qFormat/>
    <w:rsid w:val="00514066"/>
  </w:style>
  <w:style w:type="paragraph" w:customStyle="1" w:styleId="Single">
    <w:name w:val="Single"/>
    <w:basedOn w:val="Normal"/>
    <w:link w:val="SingleChar"/>
    <w:rsid w:val="00514066"/>
    <w:pPr>
      <w:tabs>
        <w:tab w:val="left" w:pos="454"/>
      </w:tabs>
      <w:spacing w:after="0" w:line="312" w:lineRule="auto"/>
      <w:ind w:left="454"/>
    </w:pPr>
    <w:rPr>
      <w:rFonts w:ascii="Arial" w:eastAsia="Calibri" w:hAnsi="Arial" w:cs="Times New Roman"/>
      <w:color w:val="0000FF"/>
      <w:spacing w:val="3"/>
      <w:kern w:val="0"/>
      <w:sz w:val="19"/>
      <w14:ligatures w14:val="none"/>
    </w:rPr>
  </w:style>
  <w:style w:type="character" w:customStyle="1" w:styleId="SingleChar">
    <w:name w:val="Single Char"/>
    <w:basedOn w:val="DefaultParagraphFont"/>
    <w:link w:val="Single"/>
    <w:rsid w:val="00514066"/>
    <w:rPr>
      <w:rFonts w:ascii="Arial" w:eastAsia="Calibri" w:hAnsi="Arial" w:cs="Times New Roman"/>
      <w:color w:val="0000FF"/>
      <w:spacing w:val="3"/>
      <w:kern w:val="0"/>
      <w:sz w:val="19"/>
      <w14:ligatures w14:val="none"/>
    </w:rPr>
  </w:style>
  <w:style w:type="paragraph" w:customStyle="1" w:styleId="Double">
    <w:name w:val="Double"/>
    <w:basedOn w:val="Normal"/>
    <w:link w:val="DoubleChar"/>
    <w:rsid w:val="00514066"/>
    <w:pPr>
      <w:tabs>
        <w:tab w:val="left" w:pos="454"/>
      </w:tabs>
      <w:spacing w:after="0" w:line="312" w:lineRule="auto"/>
      <w:ind w:left="454"/>
    </w:pPr>
    <w:rPr>
      <w:rFonts w:ascii="Arial" w:eastAsia="Calibri" w:hAnsi="Arial" w:cs="Times New Roman"/>
      <w:color w:val="008000"/>
      <w:spacing w:val="3"/>
      <w:kern w:val="0"/>
      <w:sz w:val="19"/>
      <w14:ligatures w14:val="none"/>
    </w:rPr>
  </w:style>
  <w:style w:type="character" w:customStyle="1" w:styleId="DoubleChar">
    <w:name w:val="Double Char"/>
    <w:basedOn w:val="DefaultParagraphFont"/>
    <w:link w:val="Double"/>
    <w:rsid w:val="00514066"/>
    <w:rPr>
      <w:rFonts w:ascii="Arial" w:eastAsia="Calibri" w:hAnsi="Arial" w:cs="Times New Roman"/>
      <w:color w:val="008000"/>
      <w:spacing w:val="3"/>
      <w:kern w:val="0"/>
      <w:sz w:val="19"/>
      <w14:ligatures w14:val="none"/>
    </w:rPr>
  </w:style>
  <w:style w:type="paragraph" w:customStyle="1" w:styleId="Triple">
    <w:name w:val="Triple"/>
    <w:basedOn w:val="Normal"/>
    <w:link w:val="TripleChar"/>
    <w:rsid w:val="00514066"/>
    <w:pPr>
      <w:tabs>
        <w:tab w:val="left" w:pos="454"/>
      </w:tabs>
      <w:spacing w:after="0" w:line="312" w:lineRule="auto"/>
      <w:ind w:left="454"/>
    </w:pPr>
    <w:rPr>
      <w:rFonts w:ascii="Arial" w:eastAsia="Calibri" w:hAnsi="Arial" w:cs="Times New Roman"/>
      <w:color w:val="800080"/>
      <w:spacing w:val="3"/>
      <w:kern w:val="0"/>
      <w:sz w:val="19"/>
      <w14:ligatures w14:val="none"/>
    </w:rPr>
  </w:style>
  <w:style w:type="character" w:customStyle="1" w:styleId="TripleChar">
    <w:name w:val="Triple Char"/>
    <w:basedOn w:val="DefaultParagraphFont"/>
    <w:link w:val="Triple"/>
    <w:rsid w:val="00514066"/>
    <w:rPr>
      <w:rFonts w:ascii="Arial" w:eastAsia="Calibri" w:hAnsi="Arial" w:cs="Times New Roman"/>
      <w:color w:val="800080"/>
      <w:spacing w:val="3"/>
      <w:kern w:val="0"/>
      <w:sz w:val="19"/>
      <w14:ligatures w14:val="none"/>
    </w:rPr>
  </w:style>
  <w:style w:type="paragraph" w:customStyle="1" w:styleId="Stripe">
    <w:name w:val="Stripe"/>
    <w:basedOn w:val="Normal"/>
    <w:link w:val="StripeChar"/>
    <w:rsid w:val="00514066"/>
    <w:pPr>
      <w:tabs>
        <w:tab w:val="left" w:pos="454"/>
      </w:tabs>
      <w:spacing w:after="0" w:line="312" w:lineRule="auto"/>
      <w:ind w:left="454"/>
    </w:pPr>
    <w:rPr>
      <w:rFonts w:ascii="Arial" w:eastAsia="Calibri" w:hAnsi="Arial" w:cs="Times New Roman"/>
      <w:color w:val="FF0000"/>
      <w:spacing w:val="3"/>
      <w:kern w:val="0"/>
      <w:sz w:val="19"/>
      <w14:ligatures w14:val="none"/>
    </w:rPr>
  </w:style>
  <w:style w:type="character" w:customStyle="1" w:styleId="StripeChar">
    <w:name w:val="Stripe Char"/>
    <w:basedOn w:val="DefaultParagraphFont"/>
    <w:link w:val="Stripe"/>
    <w:rsid w:val="00514066"/>
    <w:rPr>
      <w:rFonts w:ascii="Arial" w:eastAsia="Calibri" w:hAnsi="Arial" w:cs="Times New Roman"/>
      <w:color w:val="FF0000"/>
      <w:spacing w:val="3"/>
      <w:kern w:val="0"/>
      <w:sz w:val="19"/>
      <w14:ligatures w14:val="none"/>
    </w:rPr>
  </w:style>
  <w:style w:type="character" w:customStyle="1" w:styleId="Standaard1Char">
    <w:name w:val="Standaard1 Char"/>
    <w:link w:val="Standaard1"/>
    <w:rsid w:val="00514066"/>
    <w:rPr>
      <w:rFonts w:ascii="Arial" w:eastAsia="Calibri" w:hAnsi="Arial" w:cs="Times New Roman"/>
      <w:spacing w:val="3"/>
      <w:kern w:val="0"/>
      <w:sz w:val="19"/>
      <w14:ligatures w14:val="none"/>
    </w:rPr>
  </w:style>
  <w:style w:type="paragraph" w:styleId="ListParagraph">
    <w:name w:val="List Paragraph"/>
    <w:basedOn w:val="Normal"/>
    <w:uiPriority w:val="34"/>
    <w:qFormat/>
    <w:rsid w:val="00514066"/>
    <w:pPr>
      <w:spacing w:after="0" w:line="240" w:lineRule="auto"/>
      <w:ind w:left="720"/>
    </w:pPr>
    <w:rPr>
      <w:rFonts w:ascii="Calibri" w:hAnsi="Calibri" w:cs="Calibri"/>
      <w:kern w:val="0"/>
      <w:lang w:val="en-GB" w:eastAsia="en-GB"/>
      <w14:ligatures w14:val="none"/>
    </w:rPr>
  </w:style>
  <w:style w:type="character" w:customStyle="1" w:styleId="wknlverwijzing">
    <w:name w:val="wknl_verwijzing"/>
    <w:basedOn w:val="DefaultParagraphFont"/>
    <w:rsid w:val="00514066"/>
    <w:rPr>
      <w:lang w:val="nl-NL"/>
    </w:rPr>
  </w:style>
  <w:style w:type="character" w:styleId="UnresolvedMention">
    <w:name w:val="Unresolved Mention"/>
    <w:basedOn w:val="DefaultParagraphFont"/>
    <w:uiPriority w:val="99"/>
    <w:semiHidden/>
    <w:unhideWhenUsed/>
    <w:rsid w:val="00514066"/>
    <w:rPr>
      <w:color w:val="605E5C"/>
      <w:shd w:val="clear" w:color="auto" w:fill="E1DFDD"/>
      <w:lang w:val="nl-NL"/>
    </w:rPr>
  </w:style>
  <w:style w:type="paragraph" w:customStyle="1" w:styleId="c01pointnumerotealtn">
    <w:name w:val="c01pointnumerotealtn"/>
    <w:basedOn w:val="Normal"/>
    <w:rsid w:val="0051406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c03tiretlong">
    <w:name w:val="c03tiretlong"/>
    <w:basedOn w:val="Normal"/>
    <w:rsid w:val="0051406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TOCHeading">
    <w:name w:val="TOC Heading"/>
    <w:basedOn w:val="Heading1"/>
    <w:next w:val="Normal"/>
    <w:uiPriority w:val="39"/>
    <w:unhideWhenUsed/>
    <w:qFormat/>
    <w:rsid w:val="00514066"/>
    <w:pPr>
      <w:keepLines/>
      <w:spacing w:after="0" w:line="259" w:lineRule="auto"/>
      <w:outlineLvl w:val="9"/>
    </w:pPr>
    <w:rPr>
      <w:rFonts w:asciiTheme="majorHAnsi" w:eastAsiaTheme="majorEastAsia" w:hAnsiTheme="majorHAnsi" w:cstheme="majorBidi"/>
      <w:b w:val="0"/>
      <w:bCs w:val="0"/>
      <w:color w:val="2F5496" w:themeColor="accent1" w:themeShade="BF"/>
      <w:spacing w:val="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505">
      <w:bodyDiv w:val="1"/>
      <w:marLeft w:val="0"/>
      <w:marRight w:val="0"/>
      <w:marTop w:val="0"/>
      <w:marBottom w:val="0"/>
      <w:divBdr>
        <w:top w:val="none" w:sz="0" w:space="0" w:color="auto"/>
        <w:left w:val="none" w:sz="0" w:space="0" w:color="auto"/>
        <w:bottom w:val="none" w:sz="0" w:space="0" w:color="auto"/>
        <w:right w:val="none" w:sz="0" w:space="0" w:color="auto"/>
      </w:divBdr>
    </w:div>
    <w:div w:id="607003895">
      <w:bodyDiv w:val="1"/>
      <w:marLeft w:val="0"/>
      <w:marRight w:val="0"/>
      <w:marTop w:val="0"/>
      <w:marBottom w:val="0"/>
      <w:divBdr>
        <w:top w:val="none" w:sz="0" w:space="0" w:color="auto"/>
        <w:left w:val="none" w:sz="0" w:space="0" w:color="auto"/>
        <w:bottom w:val="none" w:sz="0" w:space="0" w:color="auto"/>
        <w:right w:val="none" w:sz="0" w:space="0" w:color="auto"/>
      </w:divBdr>
    </w:div>
    <w:div w:id="830297971">
      <w:bodyDiv w:val="1"/>
      <w:marLeft w:val="0"/>
      <w:marRight w:val="0"/>
      <w:marTop w:val="0"/>
      <w:marBottom w:val="0"/>
      <w:divBdr>
        <w:top w:val="none" w:sz="0" w:space="0" w:color="auto"/>
        <w:left w:val="none" w:sz="0" w:space="0" w:color="auto"/>
        <w:bottom w:val="none" w:sz="0" w:space="0" w:color="auto"/>
        <w:right w:val="none" w:sz="0" w:space="0" w:color="auto"/>
      </w:divBdr>
      <w:divsChild>
        <w:div w:id="1180318550">
          <w:marLeft w:val="0"/>
          <w:marRight w:val="0"/>
          <w:marTop w:val="0"/>
          <w:marBottom w:val="0"/>
          <w:divBdr>
            <w:top w:val="none" w:sz="0" w:space="0" w:color="auto"/>
            <w:left w:val="none" w:sz="0" w:space="0" w:color="auto"/>
            <w:bottom w:val="none" w:sz="0" w:space="0" w:color="auto"/>
            <w:right w:val="none" w:sz="0" w:space="0" w:color="auto"/>
          </w:divBdr>
          <w:divsChild>
            <w:div w:id="973488228">
              <w:marLeft w:val="0"/>
              <w:marRight w:val="0"/>
              <w:marTop w:val="0"/>
              <w:marBottom w:val="0"/>
              <w:divBdr>
                <w:top w:val="none" w:sz="0" w:space="0" w:color="auto"/>
                <w:left w:val="none" w:sz="0" w:space="0" w:color="auto"/>
                <w:bottom w:val="none" w:sz="0" w:space="0" w:color="auto"/>
                <w:right w:val="none" w:sz="0" w:space="0" w:color="auto"/>
              </w:divBdr>
            </w:div>
          </w:divsChild>
        </w:div>
        <w:div w:id="405298902">
          <w:marLeft w:val="0"/>
          <w:marRight w:val="0"/>
          <w:marTop w:val="0"/>
          <w:marBottom w:val="0"/>
          <w:divBdr>
            <w:top w:val="none" w:sz="0" w:space="0" w:color="auto"/>
            <w:left w:val="none" w:sz="0" w:space="0" w:color="auto"/>
            <w:bottom w:val="none" w:sz="0" w:space="0" w:color="auto"/>
            <w:right w:val="none" w:sz="0" w:space="0" w:color="auto"/>
          </w:divBdr>
        </w:div>
        <w:div w:id="1226337638">
          <w:marLeft w:val="0"/>
          <w:marRight w:val="0"/>
          <w:marTop w:val="0"/>
          <w:marBottom w:val="0"/>
          <w:divBdr>
            <w:top w:val="none" w:sz="0" w:space="0" w:color="auto"/>
            <w:left w:val="none" w:sz="0" w:space="0" w:color="auto"/>
            <w:bottom w:val="none" w:sz="0" w:space="0" w:color="auto"/>
            <w:right w:val="none" w:sz="0" w:space="0" w:color="auto"/>
          </w:divBdr>
        </w:div>
        <w:div w:id="36421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5L2436&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lex.europa.eu/legal-content/EN/TXT/PDF/?uri=CELEX:32017R1001&amp;from=NL" TargetMode="External"/><Relationship Id="rId4" Type="http://schemas.openxmlformats.org/officeDocument/2006/relationships/settings" Target="settings.xml"/><Relationship Id="rId9" Type="http://schemas.openxmlformats.org/officeDocument/2006/relationships/hyperlink" Target="https://eur-lex.europa.eu/legal-content/EN/TXT/PDF/?uri=CELEX:32015L2436&amp;from=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pub/pdf/scpwps/ecb.wp2665~622858d454.en.pdf?d29408906ea04274666628f9faefce0d" TargetMode="External"/><Relationship Id="rId13" Type="http://schemas.openxmlformats.org/officeDocument/2006/relationships/hyperlink" Target="https://courbeneluxhof.int/nl/arresten.asp?RID=229" TargetMode="External"/><Relationship Id="rId18" Type="http://schemas.openxmlformats.org/officeDocument/2006/relationships/hyperlink" Target="https://www.dallascounsel.com/nike-inc-plaintiff-v-mschf-product-studio-inc-defendant" TargetMode="External"/><Relationship Id="rId26" Type="http://schemas.openxmlformats.org/officeDocument/2006/relationships/hyperlink" Target="https://eur-lex.europa.eu/legal-content/EN/TXT/PDF/?uri=CELEX:62017CJ0129&amp;from=NL" TargetMode="External"/><Relationship Id="rId3" Type="http://schemas.openxmlformats.org/officeDocument/2006/relationships/hyperlink" Target="https://uitspraken.rechtspraak.nl/" TargetMode="External"/><Relationship Id="rId21" Type="http://schemas.openxmlformats.org/officeDocument/2006/relationships/hyperlink" Target="https://curia.europa.eu/juris/document/document.jsf?text=&amp;docid=267606&amp;pageIndex=0&amp;doclang=NL&amp;mode=lst&amp;dir=&amp;occ=first&amp;part=1&amp;cid=417255" TargetMode="External"/><Relationship Id="rId7" Type="http://schemas.openxmlformats.org/officeDocument/2006/relationships/hyperlink" Target="https://ecer.minbuza.nl/-/c-133/20-european-pallet-association" TargetMode="External"/><Relationship Id="rId12" Type="http://schemas.openxmlformats.org/officeDocument/2006/relationships/hyperlink" Target="https://www.sideman.com/wp-content/uploads/2021/05/Upcycling_-Brands-Buckle-Up-for-a-New-Fashion-Trend.pdf" TargetMode="External"/><Relationship Id="rId17" Type="http://schemas.openxmlformats.org/officeDocument/2006/relationships/hyperlink" Target="https://www.abc4.com/wp-content/uploads/sites/4/2021/03/NIKE-vs-MSCHF.pdf" TargetMode="External"/><Relationship Id="rId25" Type="http://schemas.openxmlformats.org/officeDocument/2006/relationships/hyperlink" Target="https://curia.europa.eu/juris/document/document.jsf?text=&amp;docid=268023&amp;pageIndex=0&amp;doclang=EN&amp;mode=lst&amp;dir=&amp;occ=first&amp;part=1&amp;cid=8137" TargetMode="External"/><Relationship Id="rId33" Type="http://schemas.openxmlformats.org/officeDocument/2006/relationships/hyperlink" Target="https://new.navigator.nl/document/idc68ff2d3df7e4165acaf2f4a17cde508?ctx=WKNL_CSL_47" TargetMode="External"/><Relationship Id="rId2" Type="http://schemas.openxmlformats.org/officeDocument/2006/relationships/hyperlink" Target="https://academic.oup.com/grurint/article/70/3/228/6114702" TargetMode="External"/><Relationship Id="rId16" Type="http://schemas.openxmlformats.org/officeDocument/2006/relationships/hyperlink" Target="https://deliverypdf.ssrn.com/delivery.php?ID=111089002009103077007097066124085087034086041036045026092114019030105099098081121031022029052037057008050109097102111105111080122004033060060127093077082113074084113061041033106023084003070010024095098029108086016030013103006030123105070067111031092022&amp;EXT=pdf&amp;INDEX=TRUE" TargetMode="External"/><Relationship Id="rId20" Type="http://schemas.openxmlformats.org/officeDocument/2006/relationships/hyperlink" Target="https://curia.europa.eu/juris/document/document.jsf?text=&amp;docid=267606&amp;pageIndex=0&amp;doclang=NL&amp;mode=lst&amp;dir=&amp;occ=first&amp;part=1&amp;cid=1612" TargetMode="External"/><Relationship Id="rId29" Type="http://schemas.openxmlformats.org/officeDocument/2006/relationships/hyperlink" Target="https://boekx.com/wp-content/uploads/2019/09/1562241127-WTR79_EU-debranding_v2.pdf" TargetMode="External"/><Relationship Id="rId1" Type="http://schemas.openxmlformats.org/officeDocument/2006/relationships/hyperlink" Target="https://scholarship.law.marquette.edu/cgi/viewcontent.cgi?article=1034&amp;context=iplr" TargetMode="External"/><Relationship Id="rId6" Type="http://schemas.openxmlformats.org/officeDocument/2006/relationships/hyperlink" Target="ECLI:NL:HR:2020:391" TargetMode="External"/><Relationship Id="rId11" Type="http://schemas.openxmlformats.org/officeDocument/2006/relationships/hyperlink" Target="https://academic.oup.com/grurint/article/70/3/285/6207628" TargetMode="External"/><Relationship Id="rId24" Type="http://schemas.openxmlformats.org/officeDocument/2006/relationships/hyperlink" Target="https://curia.europa.eu/juris/document/document.jsf;jsessionid=7E311D69F9B81F9951158647A811F669?text=&amp;docid=268621&amp;pageIndex=0&amp;doclang=EN&amp;mode=lst&amp;dir=&amp;occ=first&amp;part=1&amp;cid=203972" TargetMode="External"/><Relationship Id="rId32" Type="http://schemas.openxmlformats.org/officeDocument/2006/relationships/hyperlink" Target="https://new.navigator.nl/document/idd8a6aea5af06479e905280756393badf?ctx=WKNL_CSL_92" TargetMode="External"/><Relationship Id="rId5" Type="http://schemas.openxmlformats.org/officeDocument/2006/relationships/hyperlink" Target="https://uitspraken.rechtspraak.nl/" TargetMode="External"/><Relationship Id="rId15" Type="http://schemas.openxmlformats.org/officeDocument/2006/relationships/hyperlink" Target="https://link.springer.com/article/10.1007/s40319-022-01182-x" TargetMode="External"/><Relationship Id="rId23" Type="http://schemas.openxmlformats.org/officeDocument/2006/relationships/hyperlink" Target="https://curia.europa.eu/juris/document/document.jsf?text=&amp;docid=202047&amp;pageIndex=0&amp;doclang=NL&amp;mode=req&amp;dir=&amp;occ=first&amp;part=1" TargetMode="External"/><Relationship Id="rId28" Type="http://schemas.openxmlformats.org/officeDocument/2006/relationships/hyperlink" Target="https://www.recht.nl/vakliteratuur/alletijdschriften/aflevering/35190/berichten-industriele-eigendom/2022/4/" TargetMode="External"/><Relationship Id="rId10" Type="http://schemas.openxmlformats.org/officeDocument/2006/relationships/hyperlink" Target="https://academic.oup.com/grurint/article/70/3/285/6207628" TargetMode="External"/><Relationship Id="rId19" Type="http://schemas.openxmlformats.org/officeDocument/2006/relationships/hyperlink" Target="https://uitspraken.rechtspraak.nl/" TargetMode="External"/><Relationship Id="rId31" Type="http://schemas.openxmlformats.org/officeDocument/2006/relationships/hyperlink" Target="https://curia.europa.eu/juris/document/document.jsf?text=&amp;docid=49712&amp;pageIndex=0&amp;doclang=EN&amp;mode=lst&amp;dir=&amp;occ=first&amp;part=1&amp;cid=34018" TargetMode="External"/><Relationship Id="rId4" Type="http://schemas.openxmlformats.org/officeDocument/2006/relationships/hyperlink" Target="https://uitspraken.rechtspraak.nl/" TargetMode="External"/><Relationship Id="rId9" Type="http://schemas.openxmlformats.org/officeDocument/2006/relationships/hyperlink" Target="https://repair.eu/news/apple-crushes-one-man-repair-shop/" TargetMode="External"/><Relationship Id="rId14" Type="http://schemas.openxmlformats.org/officeDocument/2006/relationships/hyperlink" Target="https://www.mr-online.nl/merk-in-kunstwerk-mag/" TargetMode="External"/><Relationship Id="rId22" Type="http://schemas.openxmlformats.org/officeDocument/2006/relationships/hyperlink" Target="https://curia.europa.eu/juris/document/document.jsf?text=&amp;docid=202047&amp;pageIndex=0&amp;doclang=NL&amp;mode=req&amp;dir=&amp;occ=first&amp;part=1" TargetMode="External"/><Relationship Id="rId27" Type="http://schemas.openxmlformats.org/officeDocument/2006/relationships/hyperlink" Target="https://new.navigator.nl/document/id6c6b6a0d240a4a799023905efb18a25d?ctx=WKNL_CSL_448&amp;tab=tekst&amp;searchid=794224254" TargetMode="External"/><Relationship Id="rId30" Type="http://schemas.openxmlformats.org/officeDocument/2006/relationships/hyperlink" Target="https://uitspraken.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E3C1-495D-4BFB-ACE5-D5B1035F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4860</Words>
  <Characters>26730</Characters>
  <Application>Microsoft Office Word</Application>
  <DocSecurity>0</DocSecurity>
  <Lines>222</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Vrendenbarg, C.J.S. (Charlotte)</cp:lastModifiedBy>
  <cp:revision>2</cp:revision>
  <dcterms:created xsi:type="dcterms:W3CDTF">2023-11-20T15:26:00Z</dcterms:created>
  <dcterms:modified xsi:type="dcterms:W3CDTF">2023-11-20T15:26:00Z</dcterms:modified>
</cp:coreProperties>
</file>