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9D" w:rsidRPr="00EF170F" w:rsidRDefault="007D289D" w:rsidP="007D289D">
      <w:pPr>
        <w:jc w:val="center"/>
        <w:rPr>
          <w:rFonts w:ascii="Times New Roman" w:hAnsi="Times New Roman"/>
          <w:b/>
          <w:sz w:val="36"/>
          <w:szCs w:val="36"/>
        </w:rPr>
      </w:pPr>
      <w:r w:rsidRPr="00EF170F">
        <w:rPr>
          <w:rFonts w:ascii="Times New Roman" w:hAnsi="Times New Roman"/>
          <w:b/>
          <w:sz w:val="36"/>
          <w:szCs w:val="36"/>
        </w:rPr>
        <w:t>TRADE MARK LAW INSTITUTE</w:t>
      </w:r>
    </w:p>
    <w:p w:rsidR="007D289D" w:rsidRPr="004E1F97" w:rsidRDefault="007D289D" w:rsidP="007D289D">
      <w:pPr>
        <w:jc w:val="center"/>
        <w:rPr>
          <w:sz w:val="20"/>
          <w:szCs w:val="20"/>
        </w:rPr>
      </w:pPr>
      <w:r w:rsidRPr="004E1F97">
        <w:rPr>
          <w:sz w:val="20"/>
          <w:szCs w:val="20"/>
        </w:rPr>
        <w:t>Leiden-Nijmegen-Groningen-Amsterdam</w:t>
      </w:r>
      <w:r>
        <w:rPr>
          <w:sz w:val="20"/>
          <w:szCs w:val="20"/>
        </w:rPr>
        <w:t>-Rotterdam</w:t>
      </w:r>
    </w:p>
    <w:p w:rsidR="007D289D" w:rsidRPr="004E1F97" w:rsidRDefault="007D289D" w:rsidP="007D289D">
      <w:pPr>
        <w:jc w:val="center"/>
        <w:rPr>
          <w:sz w:val="20"/>
          <w:szCs w:val="20"/>
        </w:rPr>
      </w:pPr>
    </w:p>
    <w:p w:rsidR="007D289D" w:rsidRPr="001F67CB" w:rsidRDefault="001C6816" w:rsidP="007D289D">
      <w:pPr>
        <w:jc w:val="center"/>
        <w:rPr>
          <w:b/>
          <w:color w:val="FF0000"/>
          <w:lang w:val="en-GB"/>
        </w:rPr>
      </w:pPr>
      <w:r w:rsidRPr="001F67CB">
        <w:rPr>
          <w:b/>
          <w:color w:val="FF0000"/>
          <w:lang w:val="en-GB"/>
        </w:rPr>
        <w:t>5</w:t>
      </w:r>
      <w:r w:rsidR="007D289D" w:rsidRPr="001F67CB">
        <w:rPr>
          <w:b/>
          <w:color w:val="FF0000"/>
          <w:lang w:val="en-GB"/>
        </w:rPr>
        <w:t>th TLI SYMPOSIUM</w:t>
      </w:r>
    </w:p>
    <w:p w:rsidR="007369BC" w:rsidRDefault="001C6816" w:rsidP="007D289D">
      <w:pPr>
        <w:jc w:val="center"/>
        <w:rPr>
          <w:b/>
          <w:color w:val="FF0000"/>
          <w:lang w:val="en-US"/>
        </w:rPr>
      </w:pPr>
      <w:r>
        <w:rPr>
          <w:b/>
          <w:color w:val="FF0000"/>
          <w:lang w:val="en-US"/>
        </w:rPr>
        <w:t xml:space="preserve">TERRITORIALITY IN </w:t>
      </w:r>
      <w:r w:rsidR="00D12647">
        <w:rPr>
          <w:b/>
          <w:color w:val="FF0000"/>
          <w:lang w:val="en-US"/>
        </w:rPr>
        <w:t>TRADE MARK LAW,</w:t>
      </w:r>
      <w:r w:rsidR="007369BC">
        <w:rPr>
          <w:b/>
          <w:color w:val="FF0000"/>
          <w:lang w:val="en-US"/>
        </w:rPr>
        <w:t xml:space="preserve"> PROTECTION ACROSS BORDER</w:t>
      </w:r>
      <w:r w:rsidR="00C06E09">
        <w:rPr>
          <w:b/>
          <w:color w:val="FF0000"/>
          <w:lang w:val="en-US"/>
        </w:rPr>
        <w:t>S</w:t>
      </w:r>
      <w:r w:rsidR="007369BC">
        <w:rPr>
          <w:b/>
          <w:color w:val="FF0000"/>
          <w:lang w:val="en-US"/>
        </w:rPr>
        <w:t xml:space="preserve"> and LICENSING</w:t>
      </w:r>
    </w:p>
    <w:p w:rsidR="007D289D" w:rsidRPr="00565A63" w:rsidRDefault="000540A1" w:rsidP="007D289D">
      <w:pPr>
        <w:jc w:val="center"/>
        <w:rPr>
          <w:sz w:val="32"/>
          <w:szCs w:val="32"/>
          <w:lang w:val="en-US"/>
        </w:rPr>
      </w:pPr>
      <w:r>
        <w:rPr>
          <w:sz w:val="32"/>
          <w:szCs w:val="32"/>
          <w:lang w:val="en-US"/>
        </w:rPr>
        <w:t xml:space="preserve">31 </w:t>
      </w:r>
      <w:r w:rsidR="00145FB7">
        <w:rPr>
          <w:sz w:val="32"/>
          <w:szCs w:val="32"/>
          <w:lang w:val="en-US"/>
        </w:rPr>
        <w:t xml:space="preserve">October – </w:t>
      </w:r>
      <w:r>
        <w:rPr>
          <w:sz w:val="32"/>
          <w:szCs w:val="32"/>
          <w:lang w:val="en-US"/>
        </w:rPr>
        <w:t xml:space="preserve">1 </w:t>
      </w:r>
      <w:r w:rsidR="00145FB7">
        <w:rPr>
          <w:sz w:val="32"/>
          <w:szCs w:val="32"/>
          <w:lang w:val="en-US"/>
        </w:rPr>
        <w:t xml:space="preserve">November </w:t>
      </w:r>
      <w:r w:rsidR="007D289D" w:rsidRPr="00565A63">
        <w:rPr>
          <w:sz w:val="32"/>
          <w:szCs w:val="32"/>
          <w:lang w:val="en-US"/>
        </w:rPr>
        <w:t>201</w:t>
      </w:r>
      <w:r w:rsidR="001C6816">
        <w:rPr>
          <w:sz w:val="32"/>
          <w:szCs w:val="32"/>
          <w:lang w:val="en-US"/>
        </w:rPr>
        <w:t>4</w:t>
      </w:r>
    </w:p>
    <w:p w:rsidR="001C6816" w:rsidRDefault="007D289D" w:rsidP="007D289D">
      <w:pPr>
        <w:jc w:val="center"/>
        <w:rPr>
          <w:sz w:val="32"/>
          <w:szCs w:val="32"/>
          <w:lang w:val="en-US"/>
        </w:rPr>
      </w:pPr>
      <w:r w:rsidRPr="00DE056B">
        <w:rPr>
          <w:sz w:val="32"/>
          <w:szCs w:val="32"/>
          <w:lang w:val="en-US"/>
        </w:rPr>
        <w:t>Fac</w:t>
      </w:r>
      <w:r w:rsidR="008E50CA">
        <w:rPr>
          <w:sz w:val="32"/>
          <w:szCs w:val="32"/>
          <w:lang w:val="en-US"/>
        </w:rPr>
        <w:t>u</w:t>
      </w:r>
      <w:r w:rsidRPr="00DE056B">
        <w:rPr>
          <w:sz w:val="32"/>
          <w:szCs w:val="32"/>
          <w:lang w:val="en-US"/>
        </w:rPr>
        <w:t xml:space="preserve">lty of Law, </w:t>
      </w:r>
      <w:r w:rsidR="001C6816">
        <w:rPr>
          <w:sz w:val="32"/>
          <w:szCs w:val="32"/>
          <w:lang w:val="en-US"/>
        </w:rPr>
        <w:t xml:space="preserve">Erasmus </w:t>
      </w:r>
      <w:r w:rsidRPr="00DE056B">
        <w:rPr>
          <w:sz w:val="32"/>
          <w:szCs w:val="32"/>
          <w:lang w:val="en-US"/>
        </w:rPr>
        <w:t>University</w:t>
      </w:r>
      <w:r>
        <w:rPr>
          <w:sz w:val="32"/>
          <w:szCs w:val="32"/>
          <w:lang w:val="en-US"/>
        </w:rPr>
        <w:t xml:space="preserve"> </w:t>
      </w:r>
      <w:r w:rsidR="001C6816">
        <w:rPr>
          <w:sz w:val="32"/>
          <w:szCs w:val="32"/>
          <w:lang w:val="en-US"/>
        </w:rPr>
        <w:t>Rotterdam</w:t>
      </w:r>
    </w:p>
    <w:p w:rsidR="007D289D" w:rsidRPr="00C06E09" w:rsidRDefault="001C6816" w:rsidP="001C6816">
      <w:pPr>
        <w:jc w:val="center"/>
        <w:rPr>
          <w:rFonts w:asciiTheme="minorHAnsi" w:hAnsiTheme="minorHAnsi"/>
          <w:sz w:val="32"/>
          <w:szCs w:val="32"/>
          <w:lang w:val="en-US"/>
        </w:rPr>
      </w:pPr>
      <w:r>
        <w:rPr>
          <w:sz w:val="32"/>
          <w:szCs w:val="32"/>
          <w:lang w:val="en-US"/>
        </w:rPr>
        <w:t>Fri</w:t>
      </w:r>
      <w:r w:rsidR="003E4400" w:rsidRPr="00F62C4F">
        <w:rPr>
          <w:sz w:val="32"/>
          <w:szCs w:val="32"/>
          <w:lang w:val="en-US"/>
        </w:rPr>
        <w:t>day</w:t>
      </w:r>
      <w:r w:rsidR="0034647D">
        <w:rPr>
          <w:sz w:val="32"/>
          <w:szCs w:val="32"/>
          <w:lang w:val="en-US"/>
        </w:rPr>
        <w:t xml:space="preserve"> and Saturday</w:t>
      </w:r>
      <w:r w:rsidR="003E4400" w:rsidRPr="00F62C4F">
        <w:rPr>
          <w:sz w:val="32"/>
          <w:szCs w:val="32"/>
          <w:lang w:val="en-US"/>
        </w:rPr>
        <w:t>:</w:t>
      </w:r>
      <w:r w:rsidR="00C06E09" w:rsidRPr="00C06E09">
        <w:rPr>
          <w:sz w:val="32"/>
          <w:szCs w:val="32"/>
          <w:lang w:val="en-US"/>
        </w:rPr>
        <w:t xml:space="preserve"> </w:t>
      </w:r>
      <w:r w:rsidR="0034647D" w:rsidRPr="00C06E09">
        <w:rPr>
          <w:rFonts w:asciiTheme="minorHAnsi" w:hAnsiTheme="minorHAnsi"/>
          <w:sz w:val="32"/>
          <w:szCs w:val="32"/>
          <w:lang w:val="en-US"/>
        </w:rPr>
        <w:t>Faculty Club, Prinsenlandzaal, Campus Woudestein</w:t>
      </w:r>
      <w:r w:rsidRPr="00C06E09">
        <w:rPr>
          <w:rFonts w:asciiTheme="minorHAnsi" w:hAnsiTheme="minorHAnsi"/>
          <w:sz w:val="32"/>
          <w:szCs w:val="32"/>
          <w:lang w:val="en-US"/>
        </w:rPr>
        <w:t>, Burg</w:t>
      </w:r>
      <w:r w:rsidR="00C7772F">
        <w:rPr>
          <w:rFonts w:asciiTheme="minorHAnsi" w:hAnsiTheme="minorHAnsi"/>
          <w:sz w:val="32"/>
          <w:szCs w:val="32"/>
          <w:lang w:val="en-US"/>
        </w:rPr>
        <w:t>emeester</w:t>
      </w:r>
      <w:r w:rsidRPr="00C06E09">
        <w:rPr>
          <w:rFonts w:asciiTheme="minorHAnsi" w:hAnsiTheme="minorHAnsi"/>
          <w:sz w:val="32"/>
          <w:szCs w:val="32"/>
          <w:lang w:val="en-US"/>
        </w:rPr>
        <w:t xml:space="preserve"> Oudlaan 50, Rotterdam</w:t>
      </w:r>
    </w:p>
    <w:p w:rsidR="001C6816" w:rsidRPr="00C06E09" w:rsidRDefault="002B032B" w:rsidP="001C6816">
      <w:pPr>
        <w:jc w:val="center"/>
        <w:rPr>
          <w:rFonts w:asciiTheme="minorHAnsi" w:hAnsiTheme="minorHAnsi"/>
          <w:sz w:val="32"/>
          <w:szCs w:val="32"/>
          <w:lang w:val="en-US"/>
        </w:rPr>
      </w:pPr>
      <w:hyperlink r:id="rId7" w:history="1">
        <w:r w:rsidR="001C6816" w:rsidRPr="00C06E09">
          <w:rPr>
            <w:rStyle w:val="Hyperlink"/>
            <w:rFonts w:asciiTheme="minorHAnsi" w:hAnsiTheme="minorHAnsi"/>
            <w:sz w:val="32"/>
            <w:szCs w:val="32"/>
            <w:lang w:val="en-US"/>
          </w:rPr>
          <w:t>http://www.eur.nl/studiekeuze/erasmus_universiteit/bereikbaarheid_plattegronden/route_plattegronden_woudestein/</w:t>
        </w:r>
      </w:hyperlink>
      <w:r w:rsidR="001C6816" w:rsidRPr="00C06E09">
        <w:rPr>
          <w:rFonts w:asciiTheme="minorHAnsi" w:hAnsiTheme="minorHAnsi"/>
          <w:sz w:val="32"/>
          <w:szCs w:val="32"/>
          <w:lang w:val="en-US"/>
        </w:rPr>
        <w:t xml:space="preserve"> </w:t>
      </w:r>
    </w:p>
    <w:p w:rsidR="00F62C4F" w:rsidRPr="00F62C4F" w:rsidRDefault="00F62C4F" w:rsidP="00F62C4F">
      <w:pPr>
        <w:pStyle w:val="PlainText"/>
        <w:jc w:val="center"/>
        <w:rPr>
          <w:rStyle w:val="Hyperlink"/>
          <w:rFonts w:ascii="Calibri" w:eastAsia="Calibri" w:hAnsi="Calibri" w:cs="Times New Roman"/>
          <w:sz w:val="32"/>
          <w:szCs w:val="32"/>
          <w:lang w:val="en-US"/>
        </w:rPr>
      </w:pPr>
    </w:p>
    <w:p w:rsidR="003E4400" w:rsidRPr="00F62C4F" w:rsidRDefault="003E4400" w:rsidP="007D289D">
      <w:pPr>
        <w:jc w:val="center"/>
        <w:rPr>
          <w:sz w:val="32"/>
          <w:szCs w:val="32"/>
          <w:lang w:val="en-US"/>
        </w:rPr>
      </w:pPr>
      <w:r w:rsidRPr="00F62C4F">
        <w:rPr>
          <w:sz w:val="32"/>
          <w:szCs w:val="32"/>
          <w:lang w:val="en-US"/>
        </w:rPr>
        <w:t>......</w:t>
      </w:r>
    </w:p>
    <w:p w:rsidR="007D289D" w:rsidRPr="00F62C4F" w:rsidRDefault="007D289D" w:rsidP="007D289D">
      <w:pPr>
        <w:jc w:val="center"/>
        <w:rPr>
          <w:sz w:val="32"/>
          <w:szCs w:val="32"/>
          <w:lang w:val="en-US"/>
        </w:rPr>
      </w:pPr>
    </w:p>
    <w:p w:rsidR="00EF170F" w:rsidRDefault="00EF170F" w:rsidP="007D289D">
      <w:pPr>
        <w:jc w:val="center"/>
        <w:rPr>
          <w:sz w:val="32"/>
          <w:szCs w:val="32"/>
          <w:lang w:val="en-US"/>
        </w:rPr>
      </w:pPr>
      <w:r>
        <w:rPr>
          <w:sz w:val="32"/>
          <w:szCs w:val="32"/>
          <w:lang w:val="en-US"/>
        </w:rPr>
        <w:t>PURPOSE OF THE CONFERENCE</w:t>
      </w:r>
    </w:p>
    <w:p w:rsidR="00145FB7" w:rsidRDefault="00EF170F" w:rsidP="001C6816">
      <w:pPr>
        <w:rPr>
          <w:sz w:val="32"/>
          <w:szCs w:val="32"/>
          <w:lang w:val="en-US"/>
        </w:rPr>
      </w:pPr>
      <w:r>
        <w:rPr>
          <w:sz w:val="32"/>
          <w:szCs w:val="32"/>
          <w:lang w:val="en-US"/>
        </w:rPr>
        <w:t>T</w:t>
      </w:r>
      <w:r w:rsidR="00145FB7">
        <w:rPr>
          <w:sz w:val="32"/>
          <w:szCs w:val="32"/>
          <w:lang w:val="en-US"/>
        </w:rPr>
        <w:t xml:space="preserve">rade mark law does not stand on its own, but is integral part of the legal, in particular civil law system. The </w:t>
      </w:r>
      <w:r>
        <w:rPr>
          <w:sz w:val="32"/>
          <w:szCs w:val="32"/>
          <w:lang w:val="en-US"/>
        </w:rPr>
        <w:t>purpose of this conference is to study and discuss</w:t>
      </w:r>
      <w:r w:rsidR="00145FB7">
        <w:rPr>
          <w:sz w:val="32"/>
          <w:szCs w:val="32"/>
          <w:lang w:val="en-US"/>
        </w:rPr>
        <w:t xml:space="preserve"> some of the areas where trade mark law touches these other areas of the law, and maybe even comes into conflict with </w:t>
      </w:r>
      <w:r w:rsidR="00E27EF6">
        <w:rPr>
          <w:sz w:val="32"/>
          <w:szCs w:val="32"/>
          <w:lang w:val="en-US"/>
        </w:rPr>
        <w:t>them</w:t>
      </w:r>
      <w:r w:rsidR="00145FB7">
        <w:rPr>
          <w:sz w:val="32"/>
          <w:szCs w:val="32"/>
          <w:lang w:val="en-US"/>
        </w:rPr>
        <w:t xml:space="preserve">. </w:t>
      </w:r>
    </w:p>
    <w:p w:rsidR="00145FB7" w:rsidRDefault="00145FB7" w:rsidP="001C6816">
      <w:pPr>
        <w:rPr>
          <w:sz w:val="32"/>
          <w:szCs w:val="32"/>
          <w:lang w:val="en-US"/>
        </w:rPr>
      </w:pPr>
      <w:r>
        <w:rPr>
          <w:sz w:val="32"/>
          <w:szCs w:val="32"/>
          <w:lang w:val="en-US"/>
        </w:rPr>
        <w:t>The first day will focus on one of the essential characteristics of trade mark rights: their territorial scope. Despite that characteristic, we see the scope of protection extending beyond the territorial limitations of the registrations</w:t>
      </w:r>
      <w:r w:rsidR="00E27EF6">
        <w:rPr>
          <w:sz w:val="32"/>
          <w:szCs w:val="32"/>
          <w:lang w:val="en-US"/>
        </w:rPr>
        <w:t>,</w:t>
      </w:r>
      <w:r>
        <w:rPr>
          <w:sz w:val="32"/>
          <w:szCs w:val="32"/>
          <w:lang w:val="en-US"/>
        </w:rPr>
        <w:t xml:space="preserve"> as trade mark law has to face up to realities like repute extending beyond such territories, economic realities of markets, globalization of production and trade. How do the trade </w:t>
      </w:r>
      <w:r>
        <w:rPr>
          <w:sz w:val="32"/>
          <w:szCs w:val="32"/>
          <w:lang w:val="en-US"/>
        </w:rPr>
        <w:lastRenderedPageBreak/>
        <w:t>mark laws deal with these issues, and how should they be dealing with th</w:t>
      </w:r>
      <w:r w:rsidR="00E27EF6">
        <w:rPr>
          <w:sz w:val="32"/>
          <w:szCs w:val="32"/>
          <w:lang w:val="en-US"/>
        </w:rPr>
        <w:t>em</w:t>
      </w:r>
      <w:r>
        <w:rPr>
          <w:sz w:val="32"/>
          <w:szCs w:val="32"/>
          <w:lang w:val="en-US"/>
        </w:rPr>
        <w:t xml:space="preserve">? What tendencies do we recognize in case law and recent legislation (proposals)? </w:t>
      </w:r>
    </w:p>
    <w:p w:rsidR="009E3FEE" w:rsidRDefault="00145FB7" w:rsidP="001C6816">
      <w:pPr>
        <w:rPr>
          <w:sz w:val="32"/>
          <w:szCs w:val="32"/>
          <w:lang w:val="en-US"/>
        </w:rPr>
      </w:pPr>
      <w:r>
        <w:rPr>
          <w:sz w:val="32"/>
          <w:szCs w:val="32"/>
          <w:lang w:val="en-US"/>
        </w:rPr>
        <w:t xml:space="preserve">On the second day we will look at two specific fields of law, which have proven to be a major importance for determining the scope of trade mark protection </w:t>
      </w:r>
      <w:r w:rsidR="00E27EF6">
        <w:rPr>
          <w:sz w:val="32"/>
          <w:szCs w:val="32"/>
          <w:lang w:val="en-US"/>
        </w:rPr>
        <w:t xml:space="preserve">and which play a major role in practice: contract law (with a specific emphasis on licenses) and competition law. </w:t>
      </w:r>
    </w:p>
    <w:p w:rsidR="000540A1" w:rsidRDefault="00752991" w:rsidP="001C6816">
      <w:pPr>
        <w:rPr>
          <w:sz w:val="32"/>
          <w:szCs w:val="32"/>
          <w:lang w:val="en-US"/>
        </w:rPr>
      </w:pPr>
      <w:r>
        <w:rPr>
          <w:sz w:val="32"/>
          <w:szCs w:val="32"/>
          <w:lang w:val="en-US"/>
        </w:rPr>
        <w:t xml:space="preserve">In particular the European Court of Justice seems to have the tendency to rule on matters of contract law in relation to intellectual property rights (f.i. </w:t>
      </w:r>
      <w:r w:rsidR="000540A1">
        <w:rPr>
          <w:sz w:val="32"/>
          <w:szCs w:val="32"/>
          <w:lang w:val="en-US"/>
        </w:rPr>
        <w:t>ECJ 23 April 2009, C-59/08</w:t>
      </w:r>
      <w:r w:rsidR="000540A1" w:rsidRPr="000540A1">
        <w:rPr>
          <w:rFonts w:ascii="Arial" w:hAnsi="Arial" w:cs="Arial"/>
          <w:color w:val="5C594A"/>
          <w:sz w:val="19"/>
          <w:szCs w:val="19"/>
          <w:lang w:val="en-GB"/>
        </w:rPr>
        <w:t xml:space="preserve"> </w:t>
      </w:r>
      <w:r>
        <w:rPr>
          <w:sz w:val="32"/>
          <w:szCs w:val="32"/>
          <w:lang w:val="en-US"/>
        </w:rPr>
        <w:t xml:space="preserve">Copad/Dior, </w:t>
      </w:r>
      <w:r w:rsidR="000540A1">
        <w:rPr>
          <w:sz w:val="32"/>
          <w:szCs w:val="32"/>
          <w:lang w:val="en-US"/>
        </w:rPr>
        <w:t xml:space="preserve">ECJ 19 September 2013, C-661/11 </w:t>
      </w:r>
      <w:r>
        <w:rPr>
          <w:sz w:val="32"/>
          <w:szCs w:val="32"/>
          <w:lang w:val="en-US"/>
        </w:rPr>
        <w:t xml:space="preserve">Martin Y Paz, </w:t>
      </w:r>
      <w:r w:rsidR="000540A1">
        <w:rPr>
          <w:sz w:val="32"/>
          <w:szCs w:val="32"/>
          <w:lang w:val="en-US"/>
        </w:rPr>
        <w:t xml:space="preserve">ECJ 3 July 2012, C-128/11 </w:t>
      </w:r>
      <w:r>
        <w:rPr>
          <w:sz w:val="32"/>
          <w:szCs w:val="32"/>
          <w:lang w:val="en-US"/>
        </w:rPr>
        <w:t>Usedsoft). We will discuss which direction this is likely to take and whether these are desirable developments, especially where license contracts are involved. Also, competition law tends to have its own, and increasing impact on licensing issues and contracts, and sometimes takes precedence over trade mark law. Where is this the case and which developments do we recognize?</w:t>
      </w:r>
      <w:r w:rsidR="000540A1">
        <w:rPr>
          <w:sz w:val="32"/>
          <w:szCs w:val="32"/>
          <w:lang w:val="en-US"/>
        </w:rPr>
        <w:t xml:space="preserve"> </w:t>
      </w:r>
    </w:p>
    <w:p w:rsidR="00752991" w:rsidRDefault="000540A1" w:rsidP="001C6816">
      <w:pPr>
        <w:rPr>
          <w:sz w:val="32"/>
          <w:szCs w:val="32"/>
          <w:lang w:val="en-US"/>
        </w:rPr>
      </w:pPr>
      <w:r>
        <w:rPr>
          <w:sz w:val="32"/>
          <w:szCs w:val="32"/>
          <w:lang w:val="en-US"/>
        </w:rPr>
        <w:t>Closely linked to this topic is the effect of the concept of free movement of goods within free trade zones, like the European Economic Area.</w:t>
      </w:r>
    </w:p>
    <w:p w:rsidR="000540A1" w:rsidRDefault="000540A1" w:rsidP="001C6816">
      <w:pPr>
        <w:rPr>
          <w:sz w:val="32"/>
          <w:szCs w:val="32"/>
          <w:lang w:val="en-US"/>
        </w:rPr>
      </w:pPr>
      <w:r>
        <w:rPr>
          <w:sz w:val="32"/>
          <w:szCs w:val="32"/>
          <w:lang w:val="en-US"/>
        </w:rPr>
        <w:t>Finally, economic and political forces create new and specific legislation, for instance in the field of e-commerce, unfair trade practices and other consumer protection laws. We will discuss how this –sometimes inadvertently- affects trade mark law.</w:t>
      </w:r>
    </w:p>
    <w:p w:rsidR="00D31D4F" w:rsidRPr="00D31D4F" w:rsidRDefault="000540A1" w:rsidP="0050597B">
      <w:pPr>
        <w:autoSpaceDE w:val="0"/>
        <w:autoSpaceDN w:val="0"/>
        <w:adjustRightInd w:val="0"/>
        <w:spacing w:after="0" w:line="240" w:lineRule="auto"/>
        <w:rPr>
          <w:b/>
          <w:sz w:val="36"/>
          <w:szCs w:val="36"/>
          <w:lang w:val="en-US"/>
        </w:rPr>
      </w:pPr>
      <w:r>
        <w:rPr>
          <w:sz w:val="32"/>
          <w:szCs w:val="32"/>
          <w:lang w:val="en-US"/>
        </w:rPr>
        <w:t>These topics will be introduced by an international group of scholars.</w:t>
      </w:r>
      <w:r w:rsidR="00D31D4F">
        <w:rPr>
          <w:sz w:val="32"/>
          <w:szCs w:val="32"/>
          <w:lang w:val="en-US"/>
        </w:rPr>
        <w:t xml:space="preserve"> </w:t>
      </w:r>
    </w:p>
    <w:p w:rsidR="007D289D" w:rsidRPr="00565A63" w:rsidRDefault="007D289D" w:rsidP="007D289D">
      <w:pPr>
        <w:pStyle w:val="Heading2"/>
        <w:jc w:val="center"/>
        <w:rPr>
          <w:b w:val="0"/>
          <w:sz w:val="36"/>
          <w:szCs w:val="36"/>
        </w:rPr>
      </w:pPr>
      <w:r w:rsidRPr="00565A63">
        <w:rPr>
          <w:b w:val="0"/>
          <w:sz w:val="36"/>
          <w:szCs w:val="36"/>
        </w:rPr>
        <w:lastRenderedPageBreak/>
        <w:t>PROGRAMME</w:t>
      </w:r>
    </w:p>
    <w:p w:rsidR="002D1094" w:rsidRDefault="002D1094" w:rsidP="007D289D">
      <w:pPr>
        <w:pStyle w:val="Heading1"/>
        <w:rPr>
          <w:lang w:val="en-US"/>
        </w:rPr>
      </w:pPr>
      <w:bookmarkStart w:id="0" w:name="_GoBack"/>
      <w:bookmarkEnd w:id="0"/>
    </w:p>
    <w:p w:rsidR="007D289D" w:rsidRPr="00AC4E04" w:rsidRDefault="007D289D" w:rsidP="007D289D">
      <w:pPr>
        <w:pStyle w:val="Heading1"/>
        <w:rPr>
          <w:lang w:val="en-US"/>
        </w:rPr>
      </w:pPr>
      <w:r w:rsidRPr="00AC4E04">
        <w:rPr>
          <w:lang w:val="en-US"/>
        </w:rPr>
        <w:t xml:space="preserve">Friday, </w:t>
      </w:r>
      <w:r w:rsidR="000540A1">
        <w:rPr>
          <w:lang w:val="en-US"/>
        </w:rPr>
        <w:t>31 October</w:t>
      </w:r>
      <w:r>
        <w:rPr>
          <w:lang w:val="en-US"/>
        </w:rPr>
        <w:t xml:space="preserve"> 201</w:t>
      </w:r>
      <w:r w:rsidR="001C6816">
        <w:rPr>
          <w:lang w:val="en-US"/>
        </w:rPr>
        <w:t>4</w:t>
      </w:r>
    </w:p>
    <w:p w:rsidR="007D289D" w:rsidRDefault="007D289D" w:rsidP="007D289D">
      <w:pPr>
        <w:pStyle w:val="Heading4"/>
        <w:rPr>
          <w:lang w:val="en-GB"/>
        </w:rPr>
      </w:pPr>
      <w:r>
        <w:rPr>
          <w:lang w:val="en-GB"/>
        </w:rPr>
        <w:t>13.30</w:t>
      </w:r>
      <w:r>
        <w:rPr>
          <w:lang w:val="en-GB"/>
        </w:rPr>
        <w:tab/>
        <w:t xml:space="preserve">Registration and coffee </w:t>
      </w:r>
    </w:p>
    <w:p w:rsidR="00D31F13" w:rsidRDefault="007D289D" w:rsidP="00D31F13">
      <w:pPr>
        <w:ind w:left="705" w:hanging="705"/>
        <w:rPr>
          <w:sz w:val="20"/>
          <w:szCs w:val="20"/>
          <w:lang w:val="en-GB"/>
        </w:rPr>
      </w:pPr>
      <w:r w:rsidRPr="008F0C13">
        <w:rPr>
          <w:sz w:val="20"/>
          <w:szCs w:val="20"/>
          <w:lang w:val="en-GB"/>
        </w:rPr>
        <w:t>14:00</w:t>
      </w:r>
      <w:r w:rsidRPr="008F0C13">
        <w:rPr>
          <w:sz w:val="20"/>
          <w:szCs w:val="20"/>
          <w:lang w:val="en-GB"/>
        </w:rPr>
        <w:tab/>
        <w:t xml:space="preserve">Welcome </w:t>
      </w:r>
      <w:r w:rsidR="00D31F13">
        <w:rPr>
          <w:sz w:val="20"/>
          <w:szCs w:val="20"/>
          <w:lang w:val="en-GB"/>
        </w:rPr>
        <w:t xml:space="preserve">to the </w:t>
      </w:r>
      <w:r w:rsidR="001C6816">
        <w:rPr>
          <w:sz w:val="20"/>
          <w:szCs w:val="20"/>
          <w:lang w:val="en-GB"/>
        </w:rPr>
        <w:t xml:space="preserve">Erasmus </w:t>
      </w:r>
      <w:r w:rsidR="00D31F13">
        <w:rPr>
          <w:sz w:val="20"/>
          <w:szCs w:val="20"/>
          <w:lang w:val="en-GB"/>
        </w:rPr>
        <w:t xml:space="preserve">University </w:t>
      </w:r>
      <w:r w:rsidR="00DB11B7">
        <w:rPr>
          <w:sz w:val="20"/>
          <w:szCs w:val="20"/>
          <w:lang w:val="en-GB"/>
        </w:rPr>
        <w:t xml:space="preserve">Rotterdam </w:t>
      </w:r>
      <w:r w:rsidR="00D31F13">
        <w:rPr>
          <w:sz w:val="20"/>
          <w:szCs w:val="20"/>
          <w:lang w:val="en-GB"/>
        </w:rPr>
        <w:t xml:space="preserve">by Professor </w:t>
      </w:r>
      <w:r w:rsidR="001C6816">
        <w:rPr>
          <w:sz w:val="20"/>
          <w:szCs w:val="20"/>
          <w:lang w:val="en-GB"/>
        </w:rPr>
        <w:t>Susan Stoter</w:t>
      </w:r>
      <w:r w:rsidR="00D31F13">
        <w:rPr>
          <w:sz w:val="20"/>
          <w:szCs w:val="20"/>
          <w:lang w:val="en-GB"/>
        </w:rPr>
        <w:t>, Dean of the Faculty of Law</w:t>
      </w:r>
    </w:p>
    <w:p w:rsidR="007D289D" w:rsidRPr="008F0C13" w:rsidRDefault="00D31F13" w:rsidP="00D31F13">
      <w:pPr>
        <w:rPr>
          <w:sz w:val="20"/>
          <w:szCs w:val="20"/>
          <w:lang w:val="en-GB"/>
        </w:rPr>
      </w:pPr>
      <w:r>
        <w:rPr>
          <w:sz w:val="20"/>
          <w:szCs w:val="20"/>
          <w:lang w:val="en-GB"/>
        </w:rPr>
        <w:t>14.10</w:t>
      </w:r>
      <w:r>
        <w:rPr>
          <w:sz w:val="20"/>
          <w:szCs w:val="20"/>
          <w:lang w:val="en-GB"/>
        </w:rPr>
        <w:tab/>
        <w:t xml:space="preserve"> </w:t>
      </w:r>
      <w:r w:rsidRPr="008F0C13">
        <w:rPr>
          <w:sz w:val="20"/>
          <w:szCs w:val="20"/>
          <w:lang w:val="en-GB"/>
        </w:rPr>
        <w:t>Aim of the Conference</w:t>
      </w:r>
      <w:r>
        <w:rPr>
          <w:sz w:val="20"/>
          <w:szCs w:val="20"/>
          <w:lang w:val="en-GB"/>
        </w:rPr>
        <w:t xml:space="preserve"> &amp; </w:t>
      </w:r>
      <w:r w:rsidRPr="008F0C13">
        <w:rPr>
          <w:sz w:val="20"/>
          <w:szCs w:val="20"/>
          <w:lang w:val="en-GB"/>
        </w:rPr>
        <w:t>Approach</w:t>
      </w:r>
    </w:p>
    <w:p w:rsidR="007D289D" w:rsidRPr="008F0C13" w:rsidRDefault="007D289D" w:rsidP="007D289D">
      <w:pPr>
        <w:ind w:firstLine="708"/>
        <w:rPr>
          <w:i/>
          <w:sz w:val="20"/>
          <w:szCs w:val="20"/>
          <w:lang w:val="en-GB"/>
        </w:rPr>
      </w:pPr>
      <w:r w:rsidRPr="008F0C13">
        <w:rPr>
          <w:i/>
          <w:sz w:val="20"/>
          <w:szCs w:val="20"/>
          <w:lang w:val="en-GB"/>
        </w:rPr>
        <w:t xml:space="preserve">Prof. </w:t>
      </w:r>
      <w:r w:rsidR="001C6816">
        <w:rPr>
          <w:i/>
          <w:sz w:val="20"/>
          <w:szCs w:val="20"/>
          <w:lang w:val="en-GB"/>
        </w:rPr>
        <w:t>Tobias Cohen Jehoram</w:t>
      </w:r>
      <w:r w:rsidRPr="008F0C13">
        <w:rPr>
          <w:i/>
          <w:sz w:val="20"/>
          <w:szCs w:val="20"/>
          <w:lang w:val="en-GB"/>
        </w:rPr>
        <w:t>, (</w:t>
      </w:r>
      <w:r w:rsidR="001C6816">
        <w:rPr>
          <w:i/>
          <w:sz w:val="20"/>
          <w:szCs w:val="20"/>
          <w:lang w:val="en-GB"/>
        </w:rPr>
        <w:t>Erasmus University, Trademark Law Institute</w:t>
      </w:r>
      <w:r w:rsidRPr="008F0C13">
        <w:rPr>
          <w:i/>
          <w:sz w:val="20"/>
          <w:szCs w:val="20"/>
          <w:lang w:val="en-GB"/>
        </w:rPr>
        <w:t>)</w:t>
      </w:r>
    </w:p>
    <w:p w:rsidR="007D289D" w:rsidRDefault="007D289D" w:rsidP="00CD0CF2">
      <w:pPr>
        <w:pStyle w:val="Heading4"/>
        <w:ind w:left="705" w:hanging="705"/>
        <w:rPr>
          <w:lang w:val="en-GB"/>
        </w:rPr>
      </w:pPr>
      <w:r>
        <w:rPr>
          <w:lang w:val="en-GB"/>
        </w:rPr>
        <w:t>14:</w:t>
      </w:r>
      <w:r w:rsidR="007369BC">
        <w:rPr>
          <w:lang w:val="en-GB"/>
        </w:rPr>
        <w:t>20</w:t>
      </w:r>
      <w:r>
        <w:rPr>
          <w:lang w:val="en-GB"/>
        </w:rPr>
        <w:tab/>
        <w:t xml:space="preserve">Part 1: </w:t>
      </w:r>
      <w:r>
        <w:rPr>
          <w:lang w:val="en-GB"/>
        </w:rPr>
        <w:tab/>
      </w:r>
      <w:r w:rsidR="00D12647">
        <w:rPr>
          <w:lang w:val="en-GB"/>
        </w:rPr>
        <w:t>T</w:t>
      </w:r>
      <w:r>
        <w:rPr>
          <w:lang w:val="en-GB"/>
        </w:rPr>
        <w:t>rad</w:t>
      </w:r>
      <w:r w:rsidR="000D657D">
        <w:rPr>
          <w:lang w:val="en-GB"/>
        </w:rPr>
        <w:t>e</w:t>
      </w:r>
      <w:r>
        <w:rPr>
          <w:lang w:val="en-GB"/>
        </w:rPr>
        <w:t>marks</w:t>
      </w:r>
      <w:r w:rsidR="00D12647">
        <w:rPr>
          <w:lang w:val="en-GB"/>
        </w:rPr>
        <w:t xml:space="preserve">: </w:t>
      </w:r>
      <w:r w:rsidR="001C6816">
        <w:rPr>
          <w:lang w:val="en-GB"/>
        </w:rPr>
        <w:t>territorial</w:t>
      </w:r>
      <w:r w:rsidR="007369BC">
        <w:rPr>
          <w:lang w:val="en-GB"/>
        </w:rPr>
        <w:t xml:space="preserve">ity of </w:t>
      </w:r>
      <w:r w:rsidR="001C6816">
        <w:rPr>
          <w:lang w:val="en-GB"/>
        </w:rPr>
        <w:t xml:space="preserve"> rights</w:t>
      </w:r>
    </w:p>
    <w:p w:rsidR="007D289D" w:rsidRPr="008F0C13" w:rsidRDefault="00B321C8" w:rsidP="007D289D">
      <w:pPr>
        <w:ind w:firstLine="708"/>
        <w:rPr>
          <w:i/>
          <w:sz w:val="20"/>
          <w:szCs w:val="20"/>
          <w:lang w:val="en-GB"/>
        </w:rPr>
      </w:pPr>
      <w:r>
        <w:rPr>
          <w:sz w:val="20"/>
          <w:szCs w:val="20"/>
          <w:lang w:val="en-GB"/>
        </w:rPr>
        <w:t>Chair:</w:t>
      </w:r>
      <w:r w:rsidR="00C83E22">
        <w:rPr>
          <w:sz w:val="20"/>
          <w:szCs w:val="20"/>
          <w:lang w:val="en-GB"/>
        </w:rPr>
        <w:t xml:space="preserve"> </w:t>
      </w:r>
      <w:r>
        <w:rPr>
          <w:i/>
          <w:sz w:val="20"/>
          <w:szCs w:val="20"/>
          <w:lang w:val="en-GB"/>
        </w:rPr>
        <w:t>Prof. Dirk Visser, Leiden University</w:t>
      </w:r>
      <w:r w:rsidR="00C8584F">
        <w:rPr>
          <w:i/>
          <w:sz w:val="20"/>
          <w:szCs w:val="20"/>
          <w:lang w:val="en-GB"/>
        </w:rPr>
        <w:t xml:space="preserve"> </w:t>
      </w:r>
    </w:p>
    <w:p w:rsidR="007D289D" w:rsidRPr="00565A63" w:rsidRDefault="007D289D" w:rsidP="007D289D">
      <w:pPr>
        <w:ind w:left="1416" w:hanging="711"/>
        <w:rPr>
          <w:sz w:val="20"/>
          <w:szCs w:val="20"/>
          <w:lang w:val="en-GB"/>
        </w:rPr>
      </w:pPr>
      <w:r w:rsidRPr="008F0C13">
        <w:rPr>
          <w:sz w:val="20"/>
          <w:szCs w:val="20"/>
          <w:lang w:val="en-GB"/>
        </w:rPr>
        <w:t>14:</w:t>
      </w:r>
      <w:r w:rsidR="007369BC">
        <w:rPr>
          <w:sz w:val="20"/>
          <w:szCs w:val="20"/>
          <w:lang w:val="en-GB"/>
        </w:rPr>
        <w:t>20</w:t>
      </w:r>
      <w:r w:rsidRPr="008F0C13">
        <w:rPr>
          <w:sz w:val="20"/>
          <w:szCs w:val="20"/>
          <w:lang w:val="en-GB"/>
        </w:rPr>
        <w:t xml:space="preserve"> </w:t>
      </w:r>
      <w:r w:rsidRPr="008F0C13">
        <w:rPr>
          <w:sz w:val="20"/>
          <w:szCs w:val="20"/>
          <w:lang w:val="en-GB"/>
        </w:rPr>
        <w:tab/>
        <w:t xml:space="preserve">Introduction I. </w:t>
      </w:r>
      <w:r w:rsidR="000D657D">
        <w:rPr>
          <w:sz w:val="20"/>
          <w:szCs w:val="20"/>
          <w:lang w:val="en-GB"/>
        </w:rPr>
        <w:t>Trademarks</w:t>
      </w:r>
      <w:r>
        <w:rPr>
          <w:sz w:val="20"/>
          <w:szCs w:val="20"/>
          <w:lang w:val="en-GB"/>
        </w:rPr>
        <w:t xml:space="preserve">: </w:t>
      </w:r>
      <w:r w:rsidR="007369BC">
        <w:rPr>
          <w:sz w:val="20"/>
          <w:szCs w:val="20"/>
          <w:lang w:val="en-GB"/>
        </w:rPr>
        <w:t>protecting trademarks with a reputation outside the territory (art 6bis</w:t>
      </w:r>
      <w:r w:rsidR="00C83E22">
        <w:rPr>
          <w:sz w:val="20"/>
          <w:szCs w:val="20"/>
          <w:lang w:val="en-GB"/>
        </w:rPr>
        <w:t xml:space="preserve"> PC</w:t>
      </w:r>
      <w:r w:rsidR="007369BC">
        <w:rPr>
          <w:sz w:val="20"/>
          <w:szCs w:val="20"/>
          <w:lang w:val="en-GB"/>
        </w:rPr>
        <w:t>, d</w:t>
      </w:r>
      <w:r w:rsidR="00C83E22">
        <w:rPr>
          <w:sz w:val="20"/>
          <w:szCs w:val="20"/>
          <w:lang w:val="en-GB"/>
        </w:rPr>
        <w:t>e</w:t>
      </w:r>
      <w:r w:rsidR="007369BC">
        <w:rPr>
          <w:sz w:val="20"/>
          <w:szCs w:val="20"/>
          <w:lang w:val="en-GB"/>
        </w:rPr>
        <w:t>scriptiveness in other countries/languages, bad faith filing)</w:t>
      </w:r>
    </w:p>
    <w:p w:rsidR="007D289D" w:rsidRPr="00214C34" w:rsidRDefault="007D289D" w:rsidP="007D289D">
      <w:pPr>
        <w:rPr>
          <w:sz w:val="20"/>
          <w:szCs w:val="20"/>
          <w:lang w:val="en-GB"/>
        </w:rPr>
      </w:pPr>
      <w:r w:rsidRPr="00565A63">
        <w:rPr>
          <w:sz w:val="20"/>
          <w:szCs w:val="20"/>
          <w:lang w:val="en-GB"/>
        </w:rPr>
        <w:tab/>
      </w:r>
      <w:r w:rsidRPr="00565A63">
        <w:rPr>
          <w:sz w:val="20"/>
          <w:szCs w:val="20"/>
          <w:lang w:val="en-GB"/>
        </w:rPr>
        <w:tab/>
      </w:r>
      <w:r w:rsidRPr="00214C34">
        <w:rPr>
          <w:i/>
          <w:iCs/>
          <w:sz w:val="20"/>
          <w:szCs w:val="20"/>
          <w:lang w:val="en-GB"/>
        </w:rPr>
        <w:t>Prof.</w:t>
      </w:r>
      <w:r w:rsidR="003E4400" w:rsidRPr="00214C34">
        <w:rPr>
          <w:i/>
          <w:iCs/>
          <w:sz w:val="20"/>
          <w:szCs w:val="20"/>
          <w:lang w:val="en-GB"/>
        </w:rPr>
        <w:t xml:space="preserve"> Dr.</w:t>
      </w:r>
      <w:r w:rsidRPr="00214C34">
        <w:rPr>
          <w:i/>
          <w:iCs/>
          <w:sz w:val="20"/>
          <w:szCs w:val="20"/>
          <w:lang w:val="en-GB"/>
        </w:rPr>
        <w:t xml:space="preserve"> </w:t>
      </w:r>
      <w:r w:rsidR="00C83E22" w:rsidRPr="00214C34">
        <w:rPr>
          <w:i/>
          <w:iCs/>
          <w:sz w:val="20"/>
          <w:szCs w:val="20"/>
          <w:lang w:val="en-GB"/>
        </w:rPr>
        <w:t>Graeme Dinwoodie</w:t>
      </w:r>
    </w:p>
    <w:p w:rsidR="007D289D" w:rsidRPr="008F0C13" w:rsidRDefault="007D289D" w:rsidP="007D289D">
      <w:pPr>
        <w:ind w:left="1413" w:hanging="705"/>
        <w:rPr>
          <w:sz w:val="20"/>
          <w:szCs w:val="20"/>
          <w:lang w:val="en-GB"/>
        </w:rPr>
      </w:pPr>
      <w:r w:rsidRPr="008F0C13">
        <w:rPr>
          <w:sz w:val="20"/>
          <w:szCs w:val="20"/>
          <w:lang w:val="en-GB"/>
        </w:rPr>
        <w:t>1</w:t>
      </w:r>
      <w:r w:rsidR="007369BC">
        <w:rPr>
          <w:sz w:val="20"/>
          <w:szCs w:val="20"/>
          <w:lang w:val="en-GB"/>
        </w:rPr>
        <w:t>4</w:t>
      </w:r>
      <w:r w:rsidRPr="008F0C13">
        <w:rPr>
          <w:sz w:val="20"/>
          <w:szCs w:val="20"/>
          <w:lang w:val="en-GB"/>
        </w:rPr>
        <w:t>:</w:t>
      </w:r>
      <w:r w:rsidR="007369BC">
        <w:rPr>
          <w:sz w:val="20"/>
          <w:szCs w:val="20"/>
          <w:lang w:val="en-GB"/>
        </w:rPr>
        <w:t>5</w:t>
      </w:r>
      <w:r w:rsidRPr="008F0C13">
        <w:rPr>
          <w:sz w:val="20"/>
          <w:szCs w:val="20"/>
          <w:lang w:val="en-GB"/>
        </w:rPr>
        <w:t xml:space="preserve">0 </w:t>
      </w:r>
      <w:r w:rsidRPr="008F0C13">
        <w:rPr>
          <w:sz w:val="20"/>
          <w:szCs w:val="20"/>
          <w:lang w:val="en-GB"/>
        </w:rPr>
        <w:tab/>
        <w:t xml:space="preserve">Introduction II. </w:t>
      </w:r>
      <w:r w:rsidR="0092631B">
        <w:rPr>
          <w:sz w:val="20"/>
          <w:szCs w:val="20"/>
          <w:lang w:val="en-GB"/>
        </w:rPr>
        <w:t>Trad</w:t>
      </w:r>
      <w:r w:rsidR="0050597B">
        <w:rPr>
          <w:sz w:val="20"/>
          <w:szCs w:val="20"/>
          <w:lang w:val="en-GB"/>
        </w:rPr>
        <w:t xml:space="preserve">emarks: </w:t>
      </w:r>
      <w:r w:rsidR="007369BC">
        <w:rPr>
          <w:sz w:val="20"/>
          <w:szCs w:val="20"/>
          <w:lang w:val="en-GB"/>
        </w:rPr>
        <w:t>genuine use requirements and territoriality</w:t>
      </w:r>
      <w:r w:rsidR="00046F33">
        <w:rPr>
          <w:sz w:val="20"/>
          <w:szCs w:val="20"/>
          <w:lang w:val="en-GB"/>
        </w:rPr>
        <w:t>, acquiring distinctive character and territoriality, practice at OHIM and national trademark offices</w:t>
      </w:r>
    </w:p>
    <w:p w:rsidR="007D289D" w:rsidRPr="00C7772F" w:rsidRDefault="007D289D" w:rsidP="007D289D">
      <w:pPr>
        <w:ind w:firstLine="708"/>
        <w:rPr>
          <w:i/>
          <w:iCs/>
          <w:sz w:val="20"/>
          <w:szCs w:val="20"/>
          <w:lang w:val="en-GB"/>
        </w:rPr>
      </w:pPr>
      <w:r w:rsidRPr="008F0C13">
        <w:rPr>
          <w:sz w:val="20"/>
          <w:szCs w:val="20"/>
          <w:lang w:val="en-GB"/>
        </w:rPr>
        <w:tab/>
      </w:r>
      <w:r w:rsidRPr="00C7772F">
        <w:rPr>
          <w:i/>
          <w:iCs/>
          <w:sz w:val="20"/>
          <w:szCs w:val="20"/>
          <w:lang w:val="en-GB"/>
        </w:rPr>
        <w:t>Prof.</w:t>
      </w:r>
      <w:r w:rsidR="0096369A" w:rsidRPr="00C7772F">
        <w:rPr>
          <w:lang w:val="en-GB"/>
        </w:rPr>
        <w:t xml:space="preserve"> </w:t>
      </w:r>
      <w:r w:rsidR="0096369A" w:rsidRPr="00C7772F">
        <w:rPr>
          <w:i/>
          <w:sz w:val="20"/>
          <w:szCs w:val="20"/>
          <w:lang w:val="en-GB"/>
        </w:rPr>
        <w:t xml:space="preserve">César Ramirez-Montes </w:t>
      </w:r>
    </w:p>
    <w:p w:rsidR="007D289D" w:rsidRPr="00214C34" w:rsidRDefault="007D289D" w:rsidP="007D289D">
      <w:pPr>
        <w:ind w:firstLine="708"/>
        <w:rPr>
          <w:sz w:val="20"/>
          <w:szCs w:val="20"/>
          <w:lang w:val="en-GB"/>
        </w:rPr>
      </w:pPr>
      <w:r w:rsidRPr="00214C34">
        <w:rPr>
          <w:sz w:val="20"/>
          <w:szCs w:val="20"/>
          <w:lang w:val="en-GB"/>
        </w:rPr>
        <w:t>15:</w:t>
      </w:r>
      <w:r w:rsidR="00780F4E" w:rsidRPr="00214C34">
        <w:rPr>
          <w:sz w:val="20"/>
          <w:szCs w:val="20"/>
          <w:lang w:val="en-GB"/>
        </w:rPr>
        <w:t xml:space="preserve">20 </w:t>
      </w:r>
      <w:r w:rsidRPr="00214C34">
        <w:rPr>
          <w:sz w:val="20"/>
          <w:szCs w:val="20"/>
          <w:lang w:val="en-GB"/>
        </w:rPr>
        <w:tab/>
        <w:t>Discussion</w:t>
      </w:r>
    </w:p>
    <w:p w:rsidR="007D289D" w:rsidRDefault="007D289D" w:rsidP="007D289D">
      <w:pPr>
        <w:rPr>
          <w:sz w:val="20"/>
          <w:szCs w:val="20"/>
          <w:lang w:val="en-GB"/>
        </w:rPr>
      </w:pPr>
      <w:r w:rsidRPr="008F0C13">
        <w:rPr>
          <w:sz w:val="20"/>
          <w:szCs w:val="20"/>
          <w:lang w:val="en-GB"/>
        </w:rPr>
        <w:t>16:</w:t>
      </w:r>
      <w:r w:rsidR="00780F4E">
        <w:rPr>
          <w:sz w:val="20"/>
          <w:szCs w:val="20"/>
          <w:lang w:val="en-GB"/>
        </w:rPr>
        <w:t>20</w:t>
      </w:r>
      <w:r w:rsidRPr="008F0C13">
        <w:rPr>
          <w:sz w:val="20"/>
          <w:szCs w:val="20"/>
          <w:lang w:val="en-GB"/>
        </w:rPr>
        <w:tab/>
        <w:t>Coffee Break</w:t>
      </w:r>
    </w:p>
    <w:p w:rsidR="007D289D" w:rsidRPr="008F0C13" w:rsidRDefault="007D289D" w:rsidP="007D289D">
      <w:pPr>
        <w:rPr>
          <w:sz w:val="20"/>
          <w:szCs w:val="20"/>
          <w:lang w:val="en-GB"/>
        </w:rPr>
      </w:pPr>
    </w:p>
    <w:p w:rsidR="007D289D" w:rsidRPr="00531210" w:rsidRDefault="007D289D" w:rsidP="00D100F7">
      <w:pPr>
        <w:pStyle w:val="Heading4"/>
        <w:ind w:left="705" w:hanging="705"/>
        <w:rPr>
          <w:lang w:val="en-US"/>
        </w:rPr>
      </w:pPr>
      <w:r>
        <w:rPr>
          <w:lang w:val="en-US"/>
        </w:rPr>
        <w:t>16:</w:t>
      </w:r>
      <w:r w:rsidR="007369BC">
        <w:rPr>
          <w:lang w:val="en-US"/>
        </w:rPr>
        <w:t>3</w:t>
      </w:r>
      <w:r>
        <w:rPr>
          <w:lang w:val="en-US"/>
        </w:rPr>
        <w:t>5</w:t>
      </w:r>
      <w:r>
        <w:rPr>
          <w:lang w:val="en-US"/>
        </w:rPr>
        <w:tab/>
        <w:t xml:space="preserve">Part 2: </w:t>
      </w:r>
      <w:r>
        <w:rPr>
          <w:lang w:val="en-US"/>
        </w:rPr>
        <w:tab/>
      </w:r>
      <w:r w:rsidR="007369BC">
        <w:rPr>
          <w:lang w:val="en-US"/>
        </w:rPr>
        <w:t>Cross border enforcement</w:t>
      </w:r>
    </w:p>
    <w:p w:rsidR="007D289D" w:rsidRPr="00C7772F" w:rsidRDefault="007D289D" w:rsidP="007D289D">
      <w:pPr>
        <w:rPr>
          <w:i/>
          <w:sz w:val="20"/>
          <w:szCs w:val="20"/>
          <w:lang w:val="en-GB"/>
        </w:rPr>
      </w:pPr>
      <w:r w:rsidRPr="00C7772F">
        <w:rPr>
          <w:sz w:val="20"/>
          <w:szCs w:val="20"/>
          <w:lang w:val="en-GB"/>
        </w:rPr>
        <w:t>Chair:</w:t>
      </w:r>
      <w:r w:rsidRPr="00C7772F">
        <w:rPr>
          <w:sz w:val="20"/>
          <w:szCs w:val="20"/>
          <w:lang w:val="en-GB"/>
        </w:rPr>
        <w:tab/>
      </w:r>
      <w:r w:rsidRPr="00C7772F">
        <w:rPr>
          <w:i/>
          <w:sz w:val="20"/>
          <w:szCs w:val="20"/>
          <w:lang w:val="en-GB"/>
        </w:rPr>
        <w:t>Prof.</w:t>
      </w:r>
      <w:r w:rsidR="00A337A8" w:rsidRPr="00C7772F">
        <w:rPr>
          <w:i/>
          <w:sz w:val="20"/>
          <w:szCs w:val="20"/>
          <w:lang w:val="en-GB"/>
        </w:rPr>
        <w:t xml:space="preserve"> Antoon Quaedvlieg (Nijmegen)</w:t>
      </w:r>
    </w:p>
    <w:p w:rsidR="007D289D" w:rsidRPr="008F0C13" w:rsidRDefault="007D289D" w:rsidP="00214C34">
      <w:pPr>
        <w:ind w:left="1416" w:hanging="711"/>
        <w:rPr>
          <w:sz w:val="20"/>
          <w:szCs w:val="20"/>
          <w:lang w:val="en-GB"/>
        </w:rPr>
      </w:pPr>
      <w:r w:rsidRPr="008F0C13">
        <w:rPr>
          <w:sz w:val="20"/>
          <w:szCs w:val="20"/>
          <w:lang w:val="en-GB"/>
        </w:rPr>
        <w:t>16:</w:t>
      </w:r>
      <w:r w:rsidR="00780F4E">
        <w:rPr>
          <w:sz w:val="20"/>
          <w:szCs w:val="20"/>
          <w:lang w:val="en-GB"/>
        </w:rPr>
        <w:t>35</w:t>
      </w:r>
      <w:r w:rsidR="00D12647">
        <w:rPr>
          <w:sz w:val="20"/>
          <w:szCs w:val="20"/>
          <w:lang w:val="en-GB"/>
        </w:rPr>
        <w:tab/>
      </w:r>
      <w:r w:rsidRPr="008F0C13">
        <w:rPr>
          <w:sz w:val="20"/>
          <w:szCs w:val="20"/>
          <w:lang w:val="en-GB"/>
        </w:rPr>
        <w:t xml:space="preserve">Introduction I. </w:t>
      </w:r>
      <w:r w:rsidR="00C06E09">
        <w:rPr>
          <w:sz w:val="20"/>
          <w:szCs w:val="20"/>
          <w:lang w:val="en-GB"/>
        </w:rPr>
        <w:t>Enforcement in a globalized world (new Regulation and Directive proposals, ECJ Blomqvist)</w:t>
      </w:r>
    </w:p>
    <w:p w:rsidR="007D289D" w:rsidRPr="00223266" w:rsidRDefault="0034647D" w:rsidP="00223266">
      <w:pPr>
        <w:ind w:left="708" w:firstLine="708"/>
        <w:rPr>
          <w:i/>
          <w:iCs/>
          <w:sz w:val="20"/>
          <w:szCs w:val="20"/>
          <w:lang w:val="en-US"/>
        </w:rPr>
      </w:pPr>
      <w:r>
        <w:rPr>
          <w:i/>
          <w:iCs/>
          <w:sz w:val="20"/>
          <w:szCs w:val="20"/>
          <w:lang w:val="en-US"/>
        </w:rPr>
        <w:t>P</w:t>
      </w:r>
      <w:r w:rsidR="00C06E09">
        <w:rPr>
          <w:i/>
          <w:iCs/>
          <w:sz w:val="20"/>
          <w:szCs w:val="20"/>
          <w:lang w:val="en-US"/>
        </w:rPr>
        <w:t>rof.</w:t>
      </w:r>
      <w:r w:rsidR="009A5111">
        <w:rPr>
          <w:i/>
          <w:iCs/>
          <w:sz w:val="20"/>
          <w:szCs w:val="20"/>
          <w:lang w:val="en-US"/>
        </w:rPr>
        <w:t xml:space="preserve"> </w:t>
      </w:r>
      <w:r w:rsidR="0096369A">
        <w:rPr>
          <w:i/>
          <w:iCs/>
          <w:sz w:val="20"/>
          <w:szCs w:val="20"/>
          <w:lang w:val="en-US"/>
        </w:rPr>
        <w:t>Guido Kucsko</w:t>
      </w:r>
    </w:p>
    <w:p w:rsidR="007D289D" w:rsidRPr="008F0C13" w:rsidRDefault="007D289D" w:rsidP="007D289D">
      <w:pPr>
        <w:ind w:left="1416" w:hanging="711"/>
        <w:rPr>
          <w:sz w:val="20"/>
          <w:szCs w:val="20"/>
          <w:lang w:val="en-GB"/>
        </w:rPr>
      </w:pPr>
      <w:r w:rsidRPr="008F0C13">
        <w:rPr>
          <w:sz w:val="20"/>
          <w:szCs w:val="20"/>
          <w:lang w:val="en-GB"/>
        </w:rPr>
        <w:t>16:</w:t>
      </w:r>
      <w:r w:rsidR="00780F4E">
        <w:rPr>
          <w:sz w:val="20"/>
          <w:szCs w:val="20"/>
          <w:lang w:val="en-GB"/>
        </w:rPr>
        <w:t>55</w:t>
      </w:r>
      <w:r w:rsidR="00780F4E" w:rsidRPr="008F0C13">
        <w:rPr>
          <w:sz w:val="20"/>
          <w:szCs w:val="20"/>
          <w:lang w:val="en-GB"/>
        </w:rPr>
        <w:t xml:space="preserve"> </w:t>
      </w:r>
      <w:r w:rsidRPr="008F0C13">
        <w:rPr>
          <w:sz w:val="20"/>
          <w:szCs w:val="20"/>
          <w:lang w:val="en-GB"/>
        </w:rPr>
        <w:tab/>
        <w:t xml:space="preserve">Introduction II. </w:t>
      </w:r>
      <w:r w:rsidR="00C06E09">
        <w:rPr>
          <w:sz w:val="20"/>
          <w:szCs w:val="20"/>
          <w:lang w:val="en-GB"/>
        </w:rPr>
        <w:t>Goods in transit (ECJ case law and new Regulation and Directive proposals)</w:t>
      </w:r>
    </w:p>
    <w:p w:rsidR="007D289D" w:rsidRPr="00097624" w:rsidRDefault="007D289D" w:rsidP="007D289D">
      <w:pPr>
        <w:rPr>
          <w:i/>
          <w:sz w:val="20"/>
          <w:szCs w:val="20"/>
          <w:lang w:val="en-US"/>
        </w:rPr>
      </w:pPr>
      <w:r w:rsidRPr="008F0C13">
        <w:rPr>
          <w:sz w:val="20"/>
          <w:szCs w:val="20"/>
          <w:lang w:val="en-GB"/>
        </w:rPr>
        <w:tab/>
      </w:r>
      <w:r w:rsidR="00223266">
        <w:rPr>
          <w:sz w:val="20"/>
          <w:szCs w:val="20"/>
          <w:lang w:val="en-GB"/>
        </w:rPr>
        <w:tab/>
      </w:r>
      <w:r w:rsidR="00C06E09" w:rsidRPr="00097624">
        <w:rPr>
          <w:i/>
          <w:sz w:val="20"/>
          <w:szCs w:val="20"/>
          <w:lang w:val="en-GB"/>
        </w:rPr>
        <w:t xml:space="preserve">Prof. </w:t>
      </w:r>
      <w:r w:rsidR="00046F33">
        <w:rPr>
          <w:i/>
          <w:sz w:val="20"/>
          <w:szCs w:val="20"/>
          <w:lang w:val="en-GB"/>
        </w:rPr>
        <w:t>Henning Grosse Ruse</w:t>
      </w:r>
    </w:p>
    <w:p w:rsidR="007D289D" w:rsidRPr="00565A63" w:rsidRDefault="007D289D" w:rsidP="007D289D">
      <w:pPr>
        <w:rPr>
          <w:sz w:val="20"/>
          <w:szCs w:val="20"/>
          <w:lang w:val="en-GB"/>
        </w:rPr>
      </w:pPr>
      <w:r w:rsidRPr="00565A63">
        <w:rPr>
          <w:sz w:val="20"/>
          <w:szCs w:val="20"/>
          <w:lang w:val="en-GB"/>
        </w:rPr>
        <w:t>17:</w:t>
      </w:r>
      <w:r w:rsidR="00780F4E">
        <w:rPr>
          <w:sz w:val="20"/>
          <w:szCs w:val="20"/>
          <w:lang w:val="en-GB"/>
        </w:rPr>
        <w:t>20</w:t>
      </w:r>
      <w:r w:rsidR="00780F4E" w:rsidRPr="00565A63">
        <w:rPr>
          <w:sz w:val="20"/>
          <w:szCs w:val="20"/>
          <w:lang w:val="en-GB"/>
        </w:rPr>
        <w:t xml:space="preserve"> </w:t>
      </w:r>
      <w:r w:rsidRPr="00565A63">
        <w:rPr>
          <w:sz w:val="20"/>
          <w:szCs w:val="20"/>
          <w:lang w:val="en-GB"/>
        </w:rPr>
        <w:tab/>
        <w:t>Discussion</w:t>
      </w:r>
    </w:p>
    <w:p w:rsidR="007D289D" w:rsidRPr="00565A63" w:rsidRDefault="007D289D" w:rsidP="007D289D">
      <w:pPr>
        <w:rPr>
          <w:sz w:val="20"/>
          <w:szCs w:val="20"/>
          <w:lang w:val="en-GB"/>
        </w:rPr>
      </w:pPr>
      <w:r w:rsidRPr="00565A63">
        <w:rPr>
          <w:sz w:val="20"/>
          <w:szCs w:val="20"/>
          <w:lang w:val="en-GB"/>
        </w:rPr>
        <w:t>18:00</w:t>
      </w:r>
      <w:r w:rsidRPr="00565A63">
        <w:rPr>
          <w:sz w:val="20"/>
          <w:szCs w:val="20"/>
          <w:lang w:val="en-GB"/>
        </w:rPr>
        <w:tab/>
        <w:t>Summary and conclusion</w:t>
      </w:r>
    </w:p>
    <w:p w:rsidR="007D289D" w:rsidRPr="00C7772F" w:rsidRDefault="00421F20" w:rsidP="007D289D">
      <w:pPr>
        <w:rPr>
          <w:lang w:val="en-GB"/>
        </w:rPr>
      </w:pPr>
      <w:r w:rsidRPr="00C7772F">
        <w:rPr>
          <w:lang w:val="en-GB"/>
        </w:rPr>
        <w:t>19</w:t>
      </w:r>
      <w:r w:rsidR="007D289D" w:rsidRPr="00C7772F">
        <w:rPr>
          <w:lang w:val="en-GB"/>
        </w:rPr>
        <w:t>:</w:t>
      </w:r>
      <w:r w:rsidRPr="00C7772F">
        <w:rPr>
          <w:lang w:val="en-GB"/>
        </w:rPr>
        <w:t>30</w:t>
      </w:r>
      <w:r w:rsidR="007D289D" w:rsidRPr="00C7772F">
        <w:rPr>
          <w:lang w:val="en-GB"/>
        </w:rPr>
        <w:tab/>
      </w:r>
      <w:r w:rsidR="007D289D" w:rsidRPr="00C7772F">
        <w:rPr>
          <w:sz w:val="20"/>
          <w:szCs w:val="20"/>
          <w:lang w:val="en-GB"/>
        </w:rPr>
        <w:t>Conference Dinner</w:t>
      </w:r>
      <w:r w:rsidR="00800465" w:rsidRPr="00C7772F">
        <w:rPr>
          <w:sz w:val="20"/>
          <w:szCs w:val="20"/>
          <w:lang w:val="en-GB"/>
        </w:rPr>
        <w:t xml:space="preserve"> at Restaurant </w:t>
      </w:r>
      <w:r w:rsidR="00C7772F" w:rsidRPr="00C7772F">
        <w:rPr>
          <w:sz w:val="20"/>
          <w:szCs w:val="20"/>
          <w:lang w:val="en-GB"/>
        </w:rPr>
        <w:t>Boerengat, Oostzeedijk 272</w:t>
      </w:r>
      <w:r w:rsidR="00C83E22" w:rsidRPr="00C7772F">
        <w:rPr>
          <w:rFonts w:asciiTheme="minorHAnsi" w:hAnsiTheme="minorHAnsi" w:cs="Arial"/>
          <w:color w:val="222222"/>
          <w:sz w:val="20"/>
          <w:szCs w:val="20"/>
          <w:lang w:val="en-GB"/>
        </w:rPr>
        <w:t>, 306</w:t>
      </w:r>
      <w:r w:rsidR="00C7772F" w:rsidRPr="00C7772F">
        <w:rPr>
          <w:rFonts w:asciiTheme="minorHAnsi" w:hAnsiTheme="minorHAnsi" w:cs="Arial"/>
          <w:color w:val="222222"/>
          <w:sz w:val="20"/>
          <w:szCs w:val="20"/>
          <w:lang w:val="en-GB"/>
        </w:rPr>
        <w:t>3 CA</w:t>
      </w:r>
      <w:r w:rsidR="00C83E22" w:rsidRPr="00C7772F">
        <w:rPr>
          <w:rFonts w:asciiTheme="minorHAnsi" w:hAnsiTheme="minorHAnsi" w:cs="Arial"/>
          <w:color w:val="222222"/>
          <w:sz w:val="20"/>
          <w:szCs w:val="20"/>
          <w:lang w:val="en-GB"/>
        </w:rPr>
        <w:t xml:space="preserve"> Rotterdam</w:t>
      </w:r>
      <w:r w:rsidR="00C7772F" w:rsidRPr="00C7772F">
        <w:rPr>
          <w:rFonts w:asciiTheme="minorHAnsi" w:hAnsiTheme="minorHAnsi" w:cs="Arial"/>
          <w:color w:val="222222"/>
          <w:sz w:val="20"/>
          <w:szCs w:val="20"/>
          <w:lang w:val="en-GB"/>
        </w:rPr>
        <w:t xml:space="preserve"> (10-15 minutes walk from the campus; tram and taxi are options).</w:t>
      </w:r>
    </w:p>
    <w:p w:rsidR="007D289D" w:rsidRPr="00531210" w:rsidRDefault="007D289D" w:rsidP="007D289D">
      <w:pPr>
        <w:pStyle w:val="Heading1"/>
        <w:rPr>
          <w:lang w:val="en-US"/>
        </w:rPr>
      </w:pPr>
      <w:r w:rsidRPr="00531210">
        <w:rPr>
          <w:lang w:val="en-US"/>
        </w:rPr>
        <w:lastRenderedPageBreak/>
        <w:t xml:space="preserve">Saturday, </w:t>
      </w:r>
      <w:r w:rsidR="003E4400">
        <w:rPr>
          <w:lang w:val="en-US"/>
        </w:rPr>
        <w:t xml:space="preserve"> 1 </w:t>
      </w:r>
      <w:r w:rsidR="000540A1">
        <w:rPr>
          <w:lang w:val="en-US"/>
        </w:rPr>
        <w:t>November</w:t>
      </w:r>
      <w:r>
        <w:rPr>
          <w:lang w:val="en-US"/>
        </w:rPr>
        <w:t xml:space="preserve"> 201</w:t>
      </w:r>
      <w:r w:rsidR="007369BC">
        <w:rPr>
          <w:lang w:val="en-US"/>
        </w:rPr>
        <w:t>4</w:t>
      </w:r>
    </w:p>
    <w:p w:rsidR="007D289D" w:rsidRDefault="007D289D" w:rsidP="00780F4E">
      <w:pPr>
        <w:pStyle w:val="Heading4"/>
        <w:ind w:left="705" w:hanging="705"/>
        <w:rPr>
          <w:lang w:val="en-GB"/>
        </w:rPr>
      </w:pPr>
      <w:r>
        <w:rPr>
          <w:lang w:val="en-GB"/>
        </w:rPr>
        <w:t>9:00</w:t>
      </w:r>
      <w:r>
        <w:rPr>
          <w:lang w:val="en-GB"/>
        </w:rPr>
        <w:tab/>
        <w:t xml:space="preserve">Part 3: </w:t>
      </w:r>
      <w:r>
        <w:rPr>
          <w:lang w:val="en-GB"/>
        </w:rPr>
        <w:tab/>
      </w:r>
      <w:r w:rsidR="00C83E22">
        <w:rPr>
          <w:lang w:val="en-GB"/>
        </w:rPr>
        <w:t>Trademark licenses</w:t>
      </w:r>
    </w:p>
    <w:p w:rsidR="007D289D" w:rsidRPr="00565A63" w:rsidRDefault="007D289D" w:rsidP="007D289D">
      <w:pPr>
        <w:rPr>
          <w:i/>
          <w:sz w:val="20"/>
          <w:szCs w:val="20"/>
          <w:lang w:val="en-GB"/>
        </w:rPr>
      </w:pPr>
      <w:r w:rsidRPr="00565A63">
        <w:rPr>
          <w:sz w:val="20"/>
          <w:szCs w:val="20"/>
          <w:lang w:val="en-GB"/>
        </w:rPr>
        <w:t>Chair:</w:t>
      </w:r>
      <w:r w:rsidRPr="00565A63">
        <w:rPr>
          <w:sz w:val="20"/>
          <w:szCs w:val="20"/>
          <w:lang w:val="en-GB"/>
        </w:rPr>
        <w:tab/>
      </w:r>
      <w:r w:rsidRPr="00565A63">
        <w:rPr>
          <w:i/>
          <w:sz w:val="20"/>
          <w:szCs w:val="20"/>
          <w:lang w:val="en-GB"/>
        </w:rPr>
        <w:t>Prof.</w:t>
      </w:r>
      <w:r w:rsidR="00A337A8">
        <w:rPr>
          <w:i/>
          <w:sz w:val="20"/>
          <w:szCs w:val="20"/>
          <w:lang w:val="en-GB"/>
        </w:rPr>
        <w:t xml:space="preserve">  Martin Senftleben, Free University Amsterdam</w:t>
      </w:r>
    </w:p>
    <w:p w:rsidR="007D289D" w:rsidRPr="00214C34" w:rsidRDefault="007D289D" w:rsidP="00421F20">
      <w:pPr>
        <w:ind w:left="1413" w:hanging="705"/>
        <w:rPr>
          <w:sz w:val="20"/>
          <w:szCs w:val="20"/>
          <w:lang w:val="fr-FR"/>
        </w:rPr>
      </w:pPr>
      <w:r w:rsidRPr="008F0C13">
        <w:rPr>
          <w:sz w:val="20"/>
          <w:szCs w:val="20"/>
          <w:lang w:val="en-GB"/>
        </w:rPr>
        <w:t xml:space="preserve">9:00 </w:t>
      </w:r>
      <w:r w:rsidRPr="008F0C13">
        <w:rPr>
          <w:sz w:val="20"/>
          <w:szCs w:val="20"/>
          <w:lang w:val="en-GB"/>
        </w:rPr>
        <w:tab/>
        <w:t>Intro</w:t>
      </w:r>
      <w:r>
        <w:rPr>
          <w:sz w:val="20"/>
          <w:szCs w:val="20"/>
          <w:lang w:val="en-GB"/>
        </w:rPr>
        <w:t>duction</w:t>
      </w:r>
      <w:r w:rsidRPr="008F0C13">
        <w:rPr>
          <w:sz w:val="20"/>
          <w:szCs w:val="20"/>
          <w:lang w:val="en-GB"/>
        </w:rPr>
        <w:t xml:space="preserve"> I. </w:t>
      </w:r>
      <w:r w:rsidR="00C83E22">
        <w:rPr>
          <w:sz w:val="20"/>
          <w:szCs w:val="20"/>
          <w:lang w:val="en-GB"/>
        </w:rPr>
        <w:t>To what extent does EU law limit the freedom to contract in trademark licenses?</w:t>
      </w:r>
      <w:r w:rsidR="003214B7">
        <w:rPr>
          <w:sz w:val="20"/>
          <w:szCs w:val="20"/>
          <w:lang w:val="en-GB"/>
        </w:rPr>
        <w:t xml:space="preserve"> </w:t>
      </w:r>
      <w:r w:rsidR="00C83E22" w:rsidRPr="00214C34">
        <w:rPr>
          <w:sz w:val="20"/>
          <w:szCs w:val="20"/>
          <w:lang w:val="fr-FR"/>
        </w:rPr>
        <w:t>(exhaustion limitations, ECJ Copad/Dior, Martin Y Paz)</w:t>
      </w:r>
    </w:p>
    <w:p w:rsidR="007D289D" w:rsidRPr="00C83E22" w:rsidRDefault="007D289D" w:rsidP="007D289D">
      <w:pPr>
        <w:rPr>
          <w:sz w:val="20"/>
          <w:szCs w:val="20"/>
          <w:lang w:val="fr-FR"/>
        </w:rPr>
      </w:pPr>
      <w:r w:rsidRPr="00214C34">
        <w:rPr>
          <w:sz w:val="20"/>
          <w:szCs w:val="20"/>
          <w:lang w:val="fr-FR"/>
        </w:rPr>
        <w:tab/>
      </w:r>
      <w:r w:rsidRPr="00214C34">
        <w:rPr>
          <w:sz w:val="20"/>
          <w:szCs w:val="20"/>
          <w:lang w:val="fr-FR"/>
        </w:rPr>
        <w:tab/>
      </w:r>
      <w:r w:rsidR="00780F4E" w:rsidRPr="00C83E22">
        <w:rPr>
          <w:i/>
          <w:sz w:val="20"/>
          <w:szCs w:val="20"/>
          <w:lang w:val="fr-FR"/>
        </w:rPr>
        <w:t xml:space="preserve">Prof. </w:t>
      </w:r>
      <w:r w:rsidR="00A337A8" w:rsidRPr="00C83E22">
        <w:rPr>
          <w:i/>
          <w:sz w:val="20"/>
          <w:szCs w:val="20"/>
          <w:lang w:val="fr-FR"/>
        </w:rPr>
        <w:t>Dr.</w:t>
      </w:r>
      <w:r w:rsidR="00C83E22" w:rsidRPr="00C83E22">
        <w:rPr>
          <w:i/>
          <w:sz w:val="20"/>
          <w:szCs w:val="20"/>
          <w:lang w:val="fr-FR"/>
        </w:rPr>
        <w:t>Jacques de Werra</w:t>
      </w:r>
    </w:p>
    <w:p w:rsidR="00C06E09" w:rsidRDefault="007D289D" w:rsidP="007D289D">
      <w:pPr>
        <w:rPr>
          <w:sz w:val="20"/>
          <w:szCs w:val="20"/>
          <w:lang w:val="en-GB"/>
        </w:rPr>
      </w:pPr>
      <w:r w:rsidRPr="00C83E22">
        <w:rPr>
          <w:sz w:val="20"/>
          <w:szCs w:val="20"/>
          <w:lang w:val="fr-FR"/>
        </w:rPr>
        <w:tab/>
      </w:r>
      <w:r>
        <w:rPr>
          <w:sz w:val="20"/>
          <w:szCs w:val="20"/>
          <w:lang w:val="en-GB"/>
        </w:rPr>
        <w:t>9:25</w:t>
      </w:r>
      <w:r w:rsidRPr="008F0C13">
        <w:rPr>
          <w:sz w:val="20"/>
          <w:szCs w:val="20"/>
          <w:lang w:val="en-GB"/>
        </w:rPr>
        <w:tab/>
        <w:t>Intro</w:t>
      </w:r>
      <w:r>
        <w:rPr>
          <w:sz w:val="20"/>
          <w:szCs w:val="20"/>
          <w:lang w:val="en-GB"/>
        </w:rPr>
        <w:t>duction</w:t>
      </w:r>
      <w:r w:rsidRPr="008F0C13">
        <w:rPr>
          <w:sz w:val="20"/>
          <w:szCs w:val="20"/>
          <w:lang w:val="en-GB"/>
        </w:rPr>
        <w:t xml:space="preserve"> II. </w:t>
      </w:r>
      <w:r w:rsidR="00C83E22">
        <w:rPr>
          <w:sz w:val="20"/>
          <w:szCs w:val="20"/>
          <w:lang w:val="en-GB"/>
        </w:rPr>
        <w:t>Changing competition law restraints on trademark licences</w:t>
      </w:r>
      <w:r w:rsidR="00C06E09">
        <w:rPr>
          <w:sz w:val="20"/>
          <w:szCs w:val="20"/>
          <w:lang w:val="en-GB"/>
        </w:rPr>
        <w:t xml:space="preserve"> (vertical restraints, </w:t>
      </w:r>
    </w:p>
    <w:p w:rsidR="007D289D" w:rsidRPr="008F0C13" w:rsidRDefault="00C06E09" w:rsidP="007D289D">
      <w:pPr>
        <w:rPr>
          <w:sz w:val="20"/>
          <w:szCs w:val="20"/>
          <w:lang w:val="en-GB"/>
        </w:rPr>
      </w:pPr>
      <w:r>
        <w:rPr>
          <w:sz w:val="20"/>
          <w:szCs w:val="20"/>
          <w:lang w:val="en-GB"/>
        </w:rPr>
        <w:tab/>
      </w:r>
      <w:r>
        <w:rPr>
          <w:sz w:val="20"/>
          <w:szCs w:val="20"/>
          <w:lang w:val="en-GB"/>
        </w:rPr>
        <w:tab/>
        <w:t>selective distribution, abuse of IP rights)</w:t>
      </w:r>
    </w:p>
    <w:p w:rsidR="007D289D" w:rsidRPr="00214C34" w:rsidRDefault="007D289D" w:rsidP="007D289D">
      <w:pPr>
        <w:ind w:left="1410"/>
        <w:rPr>
          <w:i/>
          <w:sz w:val="20"/>
          <w:szCs w:val="20"/>
          <w:lang w:val="it-IT"/>
        </w:rPr>
      </w:pPr>
      <w:r w:rsidRPr="008F0C13">
        <w:rPr>
          <w:sz w:val="20"/>
          <w:szCs w:val="20"/>
          <w:lang w:val="en-GB"/>
        </w:rPr>
        <w:tab/>
      </w:r>
      <w:r w:rsidR="00C83E22" w:rsidRPr="00214C34">
        <w:rPr>
          <w:i/>
          <w:sz w:val="20"/>
          <w:szCs w:val="20"/>
          <w:lang w:val="it-IT"/>
        </w:rPr>
        <w:t xml:space="preserve">Prof. </w:t>
      </w:r>
      <w:r w:rsidR="00C06E09" w:rsidRPr="00214C34">
        <w:rPr>
          <w:i/>
          <w:sz w:val="20"/>
          <w:szCs w:val="20"/>
          <w:lang w:val="it-IT"/>
        </w:rPr>
        <w:t>Giovanni Gugliel</w:t>
      </w:r>
      <w:r w:rsidR="00C83E22" w:rsidRPr="00214C34">
        <w:rPr>
          <w:i/>
          <w:sz w:val="20"/>
          <w:szCs w:val="20"/>
          <w:lang w:val="it-IT"/>
        </w:rPr>
        <w:t>metti</w:t>
      </w:r>
    </w:p>
    <w:p w:rsidR="007D289D" w:rsidRPr="00214C34" w:rsidRDefault="007D289D" w:rsidP="007D289D">
      <w:pPr>
        <w:rPr>
          <w:sz w:val="20"/>
          <w:szCs w:val="20"/>
          <w:lang w:val="it-IT"/>
        </w:rPr>
      </w:pPr>
      <w:r w:rsidRPr="00214C34">
        <w:rPr>
          <w:sz w:val="20"/>
          <w:szCs w:val="20"/>
          <w:lang w:val="it-IT"/>
        </w:rPr>
        <w:tab/>
        <w:t xml:space="preserve">9:45 </w:t>
      </w:r>
      <w:r w:rsidRPr="00214C34">
        <w:rPr>
          <w:sz w:val="20"/>
          <w:szCs w:val="20"/>
          <w:lang w:val="it-IT"/>
        </w:rPr>
        <w:tab/>
        <w:t>Discussion</w:t>
      </w:r>
    </w:p>
    <w:p w:rsidR="007D289D" w:rsidRPr="00214C34" w:rsidRDefault="007D289D" w:rsidP="007D289D">
      <w:pPr>
        <w:rPr>
          <w:sz w:val="20"/>
          <w:szCs w:val="20"/>
          <w:lang w:val="it-IT"/>
        </w:rPr>
      </w:pPr>
      <w:r w:rsidRPr="00214C34">
        <w:rPr>
          <w:sz w:val="20"/>
          <w:szCs w:val="20"/>
          <w:lang w:val="it-IT"/>
        </w:rPr>
        <w:t>10:30</w:t>
      </w:r>
      <w:r w:rsidRPr="00214C34">
        <w:rPr>
          <w:sz w:val="20"/>
          <w:szCs w:val="20"/>
          <w:lang w:val="it-IT"/>
        </w:rPr>
        <w:tab/>
        <w:t>Coffee Break</w:t>
      </w:r>
    </w:p>
    <w:p w:rsidR="007D289D" w:rsidRDefault="007D289D" w:rsidP="007D289D">
      <w:pPr>
        <w:pStyle w:val="Heading4"/>
        <w:rPr>
          <w:lang w:val="en-GB"/>
        </w:rPr>
      </w:pPr>
      <w:r>
        <w:rPr>
          <w:lang w:val="en-GB"/>
        </w:rPr>
        <w:t xml:space="preserve">10:45 </w:t>
      </w:r>
      <w:r>
        <w:rPr>
          <w:lang w:val="en-GB"/>
        </w:rPr>
        <w:tab/>
        <w:t xml:space="preserve">Part 4:  </w:t>
      </w:r>
      <w:r w:rsidR="00214C34">
        <w:rPr>
          <w:lang w:val="en-GB"/>
        </w:rPr>
        <w:tab/>
        <w:t>Influences of other EU law concepts on Trademark Law</w:t>
      </w:r>
      <w:r>
        <w:rPr>
          <w:lang w:val="en-GB"/>
        </w:rPr>
        <w:tab/>
      </w:r>
    </w:p>
    <w:p w:rsidR="007D289D" w:rsidRPr="00565A63" w:rsidRDefault="007D289D" w:rsidP="007D289D">
      <w:pPr>
        <w:rPr>
          <w:i/>
          <w:sz w:val="20"/>
          <w:szCs w:val="20"/>
          <w:lang w:val="en-GB"/>
        </w:rPr>
      </w:pPr>
      <w:r w:rsidRPr="00565A63">
        <w:rPr>
          <w:sz w:val="20"/>
          <w:szCs w:val="20"/>
          <w:lang w:val="en-GB"/>
        </w:rPr>
        <w:t>Chair:</w:t>
      </w:r>
      <w:r w:rsidRPr="00565A63">
        <w:rPr>
          <w:sz w:val="20"/>
          <w:szCs w:val="20"/>
          <w:lang w:val="en-GB"/>
        </w:rPr>
        <w:tab/>
      </w:r>
      <w:r w:rsidRPr="00565A63">
        <w:rPr>
          <w:i/>
          <w:sz w:val="20"/>
          <w:szCs w:val="20"/>
          <w:lang w:val="en-GB"/>
        </w:rPr>
        <w:t xml:space="preserve">Prof. </w:t>
      </w:r>
      <w:r w:rsidR="001C6816">
        <w:rPr>
          <w:i/>
          <w:sz w:val="20"/>
          <w:szCs w:val="20"/>
          <w:lang w:val="en-GB"/>
        </w:rPr>
        <w:t>Char</w:t>
      </w:r>
      <w:r w:rsidR="00214C34">
        <w:rPr>
          <w:i/>
          <w:sz w:val="20"/>
          <w:szCs w:val="20"/>
          <w:lang w:val="en-GB"/>
        </w:rPr>
        <w:t>l</w:t>
      </w:r>
      <w:r w:rsidR="001C6816">
        <w:rPr>
          <w:i/>
          <w:sz w:val="20"/>
          <w:szCs w:val="20"/>
          <w:lang w:val="en-GB"/>
        </w:rPr>
        <w:t>es Gielen</w:t>
      </w:r>
      <w:r w:rsidR="003E4400">
        <w:rPr>
          <w:i/>
          <w:sz w:val="20"/>
          <w:szCs w:val="20"/>
          <w:lang w:val="en-GB"/>
        </w:rPr>
        <w:t xml:space="preserve">, </w:t>
      </w:r>
      <w:r w:rsidR="001C6816">
        <w:rPr>
          <w:i/>
          <w:sz w:val="20"/>
          <w:szCs w:val="20"/>
          <w:lang w:val="en-GB"/>
        </w:rPr>
        <w:t xml:space="preserve">Groningen </w:t>
      </w:r>
      <w:r w:rsidR="003E4400">
        <w:rPr>
          <w:i/>
          <w:sz w:val="20"/>
          <w:szCs w:val="20"/>
          <w:lang w:val="en-GB"/>
        </w:rPr>
        <w:t>Universit</w:t>
      </w:r>
      <w:r w:rsidR="001C6816">
        <w:rPr>
          <w:i/>
          <w:sz w:val="20"/>
          <w:szCs w:val="20"/>
          <w:lang w:val="en-GB"/>
        </w:rPr>
        <w:t>y</w:t>
      </w:r>
    </w:p>
    <w:p w:rsidR="00780F4E" w:rsidRPr="00DB5BBB" w:rsidRDefault="007D289D" w:rsidP="00780F4E">
      <w:pPr>
        <w:ind w:left="1416" w:hanging="711"/>
        <w:rPr>
          <w:sz w:val="20"/>
          <w:szCs w:val="20"/>
          <w:lang w:val="en-GB"/>
        </w:rPr>
      </w:pPr>
      <w:r w:rsidRPr="00565A63">
        <w:rPr>
          <w:sz w:val="20"/>
          <w:szCs w:val="20"/>
          <w:lang w:val="en-GB"/>
        </w:rPr>
        <w:t>10:45</w:t>
      </w:r>
      <w:r w:rsidRPr="00565A63">
        <w:rPr>
          <w:sz w:val="20"/>
          <w:szCs w:val="20"/>
          <w:lang w:val="en-GB"/>
        </w:rPr>
        <w:tab/>
      </w:r>
      <w:r w:rsidRPr="00DB5BBB">
        <w:rPr>
          <w:sz w:val="20"/>
          <w:szCs w:val="20"/>
          <w:lang w:val="en-GB"/>
        </w:rPr>
        <w:t xml:space="preserve">Introduction I. </w:t>
      </w:r>
      <w:r w:rsidR="00421F20" w:rsidRPr="00DB5BBB">
        <w:rPr>
          <w:sz w:val="20"/>
          <w:szCs w:val="20"/>
          <w:lang w:val="en-GB"/>
        </w:rPr>
        <w:t xml:space="preserve"> </w:t>
      </w:r>
      <w:r w:rsidR="00DB5BBB" w:rsidRPr="00DB5BBB">
        <w:rPr>
          <w:sz w:val="20"/>
          <w:szCs w:val="20"/>
          <w:lang w:val="en-GB"/>
        </w:rPr>
        <w:t xml:space="preserve">Partial harmonization on the free movement of goods; traditional approach to free movement of goods and national rights (Art 34 and 36 TFEU) in the light of the high level of </w:t>
      </w:r>
      <w:r w:rsidR="00DB5BBB">
        <w:rPr>
          <w:sz w:val="20"/>
          <w:szCs w:val="20"/>
          <w:lang w:val="en-GB"/>
        </w:rPr>
        <w:t xml:space="preserve">IP law </w:t>
      </w:r>
      <w:r w:rsidR="00DB5BBB" w:rsidRPr="00DB5BBB">
        <w:rPr>
          <w:sz w:val="20"/>
          <w:szCs w:val="20"/>
          <w:lang w:val="en-GB"/>
        </w:rPr>
        <w:t>harmonization.</w:t>
      </w:r>
    </w:p>
    <w:p w:rsidR="007D289D" w:rsidRPr="008E50CA" w:rsidRDefault="00780F4E" w:rsidP="00780F4E">
      <w:pPr>
        <w:ind w:left="1416" w:hanging="711"/>
        <w:rPr>
          <w:sz w:val="20"/>
          <w:szCs w:val="20"/>
          <w:lang w:val="en-US"/>
        </w:rPr>
      </w:pPr>
      <w:r>
        <w:rPr>
          <w:sz w:val="20"/>
          <w:szCs w:val="20"/>
          <w:lang w:val="en-GB"/>
        </w:rPr>
        <w:tab/>
      </w:r>
      <w:r>
        <w:rPr>
          <w:i/>
          <w:sz w:val="20"/>
          <w:szCs w:val="20"/>
          <w:lang w:val="en-GB"/>
        </w:rPr>
        <w:t xml:space="preserve">Prof </w:t>
      </w:r>
      <w:r w:rsidR="00214C34">
        <w:rPr>
          <w:i/>
          <w:sz w:val="20"/>
          <w:szCs w:val="20"/>
          <w:lang w:val="en-GB"/>
        </w:rPr>
        <w:t>Lionel Bently</w:t>
      </w:r>
    </w:p>
    <w:p w:rsidR="00A02ED5" w:rsidRDefault="007D289D" w:rsidP="00780F4E">
      <w:pPr>
        <w:ind w:left="1416" w:hanging="711"/>
        <w:rPr>
          <w:sz w:val="20"/>
          <w:szCs w:val="20"/>
          <w:lang w:val="en-GB"/>
        </w:rPr>
      </w:pPr>
      <w:r w:rsidRPr="00565A63">
        <w:rPr>
          <w:sz w:val="20"/>
          <w:szCs w:val="20"/>
          <w:lang w:val="en-GB"/>
        </w:rPr>
        <w:t xml:space="preserve">11:05 </w:t>
      </w:r>
      <w:r w:rsidRPr="00565A63">
        <w:rPr>
          <w:sz w:val="20"/>
          <w:szCs w:val="20"/>
          <w:lang w:val="en-GB"/>
        </w:rPr>
        <w:tab/>
        <w:t xml:space="preserve">Introduction II. </w:t>
      </w:r>
      <w:r w:rsidR="00214C34">
        <w:rPr>
          <w:sz w:val="20"/>
          <w:szCs w:val="20"/>
          <w:lang w:val="en-GB"/>
        </w:rPr>
        <w:t>The influence of e-commerce legislation and unfair trade practices</w:t>
      </w:r>
      <w:r w:rsidR="00780F4E">
        <w:rPr>
          <w:sz w:val="20"/>
          <w:szCs w:val="20"/>
          <w:lang w:val="en-GB"/>
        </w:rPr>
        <w:t xml:space="preserve"> </w:t>
      </w:r>
    </w:p>
    <w:p w:rsidR="007D289D" w:rsidRPr="00C7772F" w:rsidRDefault="00A02ED5" w:rsidP="00780F4E">
      <w:pPr>
        <w:ind w:left="1416" w:hanging="711"/>
        <w:rPr>
          <w:i/>
          <w:sz w:val="20"/>
          <w:szCs w:val="20"/>
          <w:lang w:val="en-GB"/>
        </w:rPr>
      </w:pPr>
      <w:r>
        <w:rPr>
          <w:sz w:val="20"/>
          <w:szCs w:val="20"/>
          <w:lang w:val="en-GB"/>
        </w:rPr>
        <w:tab/>
      </w:r>
      <w:r w:rsidR="0034647D" w:rsidRPr="00C7772F">
        <w:rPr>
          <w:i/>
          <w:sz w:val="20"/>
          <w:szCs w:val="20"/>
          <w:lang w:val="en-GB"/>
        </w:rPr>
        <w:t>Dr. Rogier de Vrey</w:t>
      </w:r>
    </w:p>
    <w:p w:rsidR="007D289D" w:rsidRPr="00565A63" w:rsidRDefault="007D289D" w:rsidP="007D289D">
      <w:pPr>
        <w:rPr>
          <w:sz w:val="20"/>
          <w:szCs w:val="20"/>
          <w:lang w:val="en-GB"/>
        </w:rPr>
      </w:pPr>
      <w:r w:rsidRPr="00C7772F">
        <w:rPr>
          <w:sz w:val="20"/>
          <w:szCs w:val="20"/>
          <w:lang w:val="en-GB"/>
        </w:rPr>
        <w:tab/>
      </w:r>
      <w:r w:rsidRPr="00565A63">
        <w:rPr>
          <w:sz w:val="20"/>
          <w:szCs w:val="20"/>
          <w:lang w:val="en-GB"/>
        </w:rPr>
        <w:t xml:space="preserve">11:25 </w:t>
      </w:r>
      <w:r w:rsidRPr="00565A63">
        <w:rPr>
          <w:sz w:val="20"/>
          <w:szCs w:val="20"/>
          <w:lang w:val="en-GB"/>
        </w:rPr>
        <w:tab/>
        <w:t>Discussion</w:t>
      </w:r>
    </w:p>
    <w:p w:rsidR="007D289D" w:rsidRDefault="007D289D" w:rsidP="007D289D">
      <w:pPr>
        <w:pStyle w:val="Heading4"/>
        <w:rPr>
          <w:lang w:val="en-GB"/>
        </w:rPr>
      </w:pPr>
      <w:r>
        <w:rPr>
          <w:lang w:val="en-GB"/>
        </w:rPr>
        <w:t>12:15</w:t>
      </w:r>
      <w:r>
        <w:rPr>
          <w:lang w:val="en-GB"/>
        </w:rPr>
        <w:tab/>
        <w:t>Conclusion and summary of main results</w:t>
      </w:r>
    </w:p>
    <w:p w:rsidR="007D289D" w:rsidRPr="00565A63" w:rsidRDefault="007D289D" w:rsidP="007D289D">
      <w:pPr>
        <w:rPr>
          <w:sz w:val="16"/>
          <w:szCs w:val="16"/>
          <w:lang w:val="en-GB"/>
        </w:rPr>
      </w:pPr>
    </w:p>
    <w:p w:rsidR="007D289D" w:rsidRPr="00565A63" w:rsidRDefault="007D289D" w:rsidP="007D289D">
      <w:pPr>
        <w:rPr>
          <w:sz w:val="20"/>
          <w:szCs w:val="20"/>
          <w:lang w:val="en-GB"/>
        </w:rPr>
      </w:pPr>
      <w:r w:rsidRPr="00565A63">
        <w:rPr>
          <w:sz w:val="20"/>
          <w:szCs w:val="20"/>
          <w:lang w:val="en-GB"/>
        </w:rPr>
        <w:t>12:45</w:t>
      </w:r>
      <w:r w:rsidRPr="00565A63">
        <w:rPr>
          <w:sz w:val="20"/>
          <w:szCs w:val="20"/>
          <w:lang w:val="en-GB"/>
        </w:rPr>
        <w:tab/>
        <w:t>Closing and Information on Future Projects</w:t>
      </w:r>
    </w:p>
    <w:p w:rsidR="001C6816" w:rsidRPr="008F0C13" w:rsidRDefault="001C6816" w:rsidP="001C6816">
      <w:pPr>
        <w:rPr>
          <w:i/>
          <w:sz w:val="20"/>
          <w:szCs w:val="20"/>
          <w:lang w:val="en-GB"/>
        </w:rPr>
      </w:pPr>
      <w:r w:rsidRPr="008F0C13">
        <w:rPr>
          <w:i/>
          <w:sz w:val="20"/>
          <w:szCs w:val="20"/>
          <w:lang w:val="en-GB"/>
        </w:rPr>
        <w:t xml:space="preserve">Prof. </w:t>
      </w:r>
      <w:r>
        <w:rPr>
          <w:i/>
          <w:sz w:val="20"/>
          <w:szCs w:val="20"/>
          <w:lang w:val="en-GB"/>
        </w:rPr>
        <w:t>Tobias Cohen Jehoram</w:t>
      </w:r>
      <w:r w:rsidRPr="008F0C13">
        <w:rPr>
          <w:i/>
          <w:sz w:val="20"/>
          <w:szCs w:val="20"/>
          <w:lang w:val="en-GB"/>
        </w:rPr>
        <w:t>, (</w:t>
      </w:r>
      <w:r>
        <w:rPr>
          <w:i/>
          <w:sz w:val="20"/>
          <w:szCs w:val="20"/>
          <w:lang w:val="en-GB"/>
        </w:rPr>
        <w:t>Erasmus University, Trademark Law Institute</w:t>
      </w:r>
      <w:r w:rsidRPr="008F0C13">
        <w:rPr>
          <w:i/>
          <w:sz w:val="20"/>
          <w:szCs w:val="20"/>
          <w:lang w:val="en-GB"/>
        </w:rPr>
        <w:t>)</w:t>
      </w:r>
    </w:p>
    <w:p w:rsidR="007D289D" w:rsidRPr="00565A63" w:rsidRDefault="001C6816" w:rsidP="007D289D">
      <w:pPr>
        <w:rPr>
          <w:lang w:val="en-GB"/>
        </w:rPr>
      </w:pPr>
      <w:r>
        <w:rPr>
          <w:lang w:val="en-GB"/>
        </w:rPr>
        <w:t>1</w:t>
      </w:r>
      <w:r w:rsidR="007D289D" w:rsidRPr="00565A63">
        <w:rPr>
          <w:lang w:val="en-GB"/>
        </w:rPr>
        <w:t xml:space="preserve">3:00 </w:t>
      </w:r>
      <w:r w:rsidR="007D289D" w:rsidRPr="00565A63">
        <w:rPr>
          <w:lang w:val="en-GB"/>
        </w:rPr>
        <w:tab/>
      </w:r>
      <w:r w:rsidR="002B032B">
        <w:rPr>
          <w:lang w:val="en-GB"/>
        </w:rPr>
        <w:t xml:space="preserve">Warm </w:t>
      </w:r>
      <w:r w:rsidR="007D289D" w:rsidRPr="00565A63">
        <w:rPr>
          <w:lang w:val="en-GB"/>
        </w:rPr>
        <w:t>Conference Closing Lunch</w:t>
      </w:r>
      <w:r w:rsidR="00C7772F">
        <w:rPr>
          <w:lang w:val="en-GB"/>
        </w:rPr>
        <w:t xml:space="preserve"> at the Student Pavilion on Campus</w:t>
      </w:r>
    </w:p>
    <w:p w:rsidR="00916742" w:rsidRPr="007D289D" w:rsidRDefault="00916742">
      <w:pPr>
        <w:rPr>
          <w:lang w:val="en-GB"/>
        </w:rPr>
      </w:pPr>
    </w:p>
    <w:sectPr w:rsidR="00916742" w:rsidRPr="007D289D" w:rsidSect="00774D7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579" w:rsidRDefault="00DD4579">
      <w:pPr>
        <w:spacing w:after="0" w:line="240" w:lineRule="auto"/>
      </w:pPr>
      <w:r>
        <w:separator/>
      </w:r>
    </w:p>
  </w:endnote>
  <w:endnote w:type="continuationSeparator" w:id="0">
    <w:p w:rsidR="00DD4579" w:rsidRDefault="00DD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B7D" w:rsidRDefault="00B63D60">
    <w:pPr>
      <w:pStyle w:val="Footer"/>
      <w:jc w:val="right"/>
    </w:pPr>
    <w:r>
      <w:fldChar w:fldCharType="begin"/>
    </w:r>
    <w:r>
      <w:instrText xml:space="preserve"> PAGE   \* MERGEFORMAT </w:instrText>
    </w:r>
    <w:r>
      <w:fldChar w:fldCharType="separate"/>
    </w:r>
    <w:r w:rsidR="002B032B">
      <w:rPr>
        <w:noProof/>
      </w:rPr>
      <w:t>2</w:t>
    </w:r>
    <w:r>
      <w:rPr>
        <w:noProof/>
      </w:rPr>
      <w:fldChar w:fldCharType="end"/>
    </w:r>
  </w:p>
  <w:p w:rsidR="002D1094" w:rsidRDefault="002D109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579" w:rsidRDefault="00DD4579">
      <w:pPr>
        <w:spacing w:after="0" w:line="240" w:lineRule="auto"/>
      </w:pPr>
      <w:r>
        <w:separator/>
      </w:r>
    </w:p>
  </w:footnote>
  <w:footnote w:type="continuationSeparator" w:id="0">
    <w:p w:rsidR="00DD4579" w:rsidRDefault="00DD45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F33" w:rsidRDefault="00046F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89D"/>
    <w:rsid w:val="00025EE7"/>
    <w:rsid w:val="00030016"/>
    <w:rsid w:val="00041141"/>
    <w:rsid w:val="00042C38"/>
    <w:rsid w:val="00046F33"/>
    <w:rsid w:val="000540A1"/>
    <w:rsid w:val="000554B0"/>
    <w:rsid w:val="000651CA"/>
    <w:rsid w:val="00065A51"/>
    <w:rsid w:val="00065E12"/>
    <w:rsid w:val="00081D5E"/>
    <w:rsid w:val="000827E8"/>
    <w:rsid w:val="00082EFB"/>
    <w:rsid w:val="00086844"/>
    <w:rsid w:val="00091CAC"/>
    <w:rsid w:val="00092D16"/>
    <w:rsid w:val="00093D86"/>
    <w:rsid w:val="00097624"/>
    <w:rsid w:val="000B1738"/>
    <w:rsid w:val="000C31DA"/>
    <w:rsid w:val="000C4E30"/>
    <w:rsid w:val="000C5027"/>
    <w:rsid w:val="000D657D"/>
    <w:rsid w:val="000D6D20"/>
    <w:rsid w:val="000E0961"/>
    <w:rsid w:val="000E1D59"/>
    <w:rsid w:val="000E2161"/>
    <w:rsid w:val="000E78EA"/>
    <w:rsid w:val="000F1CFC"/>
    <w:rsid w:val="00101211"/>
    <w:rsid w:val="00101264"/>
    <w:rsid w:val="001038AF"/>
    <w:rsid w:val="001137DA"/>
    <w:rsid w:val="001326A1"/>
    <w:rsid w:val="00136786"/>
    <w:rsid w:val="0013737C"/>
    <w:rsid w:val="00144A70"/>
    <w:rsid w:val="00145FB7"/>
    <w:rsid w:val="0015579A"/>
    <w:rsid w:val="00181802"/>
    <w:rsid w:val="001A08A1"/>
    <w:rsid w:val="001A63F4"/>
    <w:rsid w:val="001A7C54"/>
    <w:rsid w:val="001B57FE"/>
    <w:rsid w:val="001C6816"/>
    <w:rsid w:val="001D2ADB"/>
    <w:rsid w:val="001D66AA"/>
    <w:rsid w:val="001D7F55"/>
    <w:rsid w:val="001F027F"/>
    <w:rsid w:val="001F2E50"/>
    <w:rsid w:val="001F67CB"/>
    <w:rsid w:val="00200AF0"/>
    <w:rsid w:val="00214C34"/>
    <w:rsid w:val="00223266"/>
    <w:rsid w:val="00237842"/>
    <w:rsid w:val="00240D5B"/>
    <w:rsid w:val="00244419"/>
    <w:rsid w:val="002459BF"/>
    <w:rsid w:val="0024758E"/>
    <w:rsid w:val="00252EC7"/>
    <w:rsid w:val="002644A2"/>
    <w:rsid w:val="00273FE7"/>
    <w:rsid w:val="0027706F"/>
    <w:rsid w:val="002B032B"/>
    <w:rsid w:val="002B4BBD"/>
    <w:rsid w:val="002B5167"/>
    <w:rsid w:val="002C5A54"/>
    <w:rsid w:val="002D1094"/>
    <w:rsid w:val="002D215F"/>
    <w:rsid w:val="002E2D91"/>
    <w:rsid w:val="002E570A"/>
    <w:rsid w:val="002F5602"/>
    <w:rsid w:val="00301C8E"/>
    <w:rsid w:val="00313A32"/>
    <w:rsid w:val="003160BD"/>
    <w:rsid w:val="003214B7"/>
    <w:rsid w:val="00335086"/>
    <w:rsid w:val="0034647D"/>
    <w:rsid w:val="00354BC2"/>
    <w:rsid w:val="00371996"/>
    <w:rsid w:val="00372333"/>
    <w:rsid w:val="00383CB1"/>
    <w:rsid w:val="003878A1"/>
    <w:rsid w:val="00393AA1"/>
    <w:rsid w:val="003A1005"/>
    <w:rsid w:val="003B00F9"/>
    <w:rsid w:val="003B07B0"/>
    <w:rsid w:val="003C149A"/>
    <w:rsid w:val="003E4400"/>
    <w:rsid w:val="003F2423"/>
    <w:rsid w:val="003F4278"/>
    <w:rsid w:val="003F559C"/>
    <w:rsid w:val="003F61FF"/>
    <w:rsid w:val="00405094"/>
    <w:rsid w:val="00411067"/>
    <w:rsid w:val="00416617"/>
    <w:rsid w:val="0041790B"/>
    <w:rsid w:val="004205C7"/>
    <w:rsid w:val="00421F20"/>
    <w:rsid w:val="00427C9A"/>
    <w:rsid w:val="00447ACD"/>
    <w:rsid w:val="00464161"/>
    <w:rsid w:val="00467FFB"/>
    <w:rsid w:val="004A6783"/>
    <w:rsid w:val="004A6D9A"/>
    <w:rsid w:val="004C1FD2"/>
    <w:rsid w:val="004C611C"/>
    <w:rsid w:val="004D2B3C"/>
    <w:rsid w:val="004D5E64"/>
    <w:rsid w:val="004D63F7"/>
    <w:rsid w:val="004E03CB"/>
    <w:rsid w:val="004E0B5F"/>
    <w:rsid w:val="004E674E"/>
    <w:rsid w:val="004F4B90"/>
    <w:rsid w:val="0050597B"/>
    <w:rsid w:val="00510302"/>
    <w:rsid w:val="00513E47"/>
    <w:rsid w:val="005318F4"/>
    <w:rsid w:val="00533326"/>
    <w:rsid w:val="00535B8A"/>
    <w:rsid w:val="005414A5"/>
    <w:rsid w:val="005511CA"/>
    <w:rsid w:val="0055280A"/>
    <w:rsid w:val="00563240"/>
    <w:rsid w:val="00564C99"/>
    <w:rsid w:val="00580147"/>
    <w:rsid w:val="005963A7"/>
    <w:rsid w:val="005A4ADB"/>
    <w:rsid w:val="005C2DC8"/>
    <w:rsid w:val="005C3271"/>
    <w:rsid w:val="005E578F"/>
    <w:rsid w:val="005E6B19"/>
    <w:rsid w:val="006008BF"/>
    <w:rsid w:val="00601315"/>
    <w:rsid w:val="00640CA8"/>
    <w:rsid w:val="006418BD"/>
    <w:rsid w:val="00646E6C"/>
    <w:rsid w:val="00651D29"/>
    <w:rsid w:val="00663AD9"/>
    <w:rsid w:val="00672EFC"/>
    <w:rsid w:val="00673C24"/>
    <w:rsid w:val="006747FC"/>
    <w:rsid w:val="00690E91"/>
    <w:rsid w:val="0069104A"/>
    <w:rsid w:val="006B0F5E"/>
    <w:rsid w:val="006F474A"/>
    <w:rsid w:val="006F7F6D"/>
    <w:rsid w:val="007002E2"/>
    <w:rsid w:val="00704F0A"/>
    <w:rsid w:val="007132B5"/>
    <w:rsid w:val="00716AE0"/>
    <w:rsid w:val="00724778"/>
    <w:rsid w:val="007252A6"/>
    <w:rsid w:val="00727EDF"/>
    <w:rsid w:val="007321BE"/>
    <w:rsid w:val="007369BC"/>
    <w:rsid w:val="00745AB1"/>
    <w:rsid w:val="00752991"/>
    <w:rsid w:val="00754DBB"/>
    <w:rsid w:val="0075775F"/>
    <w:rsid w:val="0076448F"/>
    <w:rsid w:val="00780F4E"/>
    <w:rsid w:val="0078257E"/>
    <w:rsid w:val="00782982"/>
    <w:rsid w:val="007854B2"/>
    <w:rsid w:val="007A6C99"/>
    <w:rsid w:val="007B1BA8"/>
    <w:rsid w:val="007C1135"/>
    <w:rsid w:val="007C422E"/>
    <w:rsid w:val="007D289D"/>
    <w:rsid w:val="007D41FE"/>
    <w:rsid w:val="007D7FF0"/>
    <w:rsid w:val="007E45F1"/>
    <w:rsid w:val="007E4722"/>
    <w:rsid w:val="007E5707"/>
    <w:rsid w:val="00800465"/>
    <w:rsid w:val="00800ECD"/>
    <w:rsid w:val="00803D67"/>
    <w:rsid w:val="00810901"/>
    <w:rsid w:val="00811AE9"/>
    <w:rsid w:val="008357F3"/>
    <w:rsid w:val="008510CA"/>
    <w:rsid w:val="00855C3B"/>
    <w:rsid w:val="008570B0"/>
    <w:rsid w:val="00880F4A"/>
    <w:rsid w:val="00882521"/>
    <w:rsid w:val="0089727A"/>
    <w:rsid w:val="008A0F00"/>
    <w:rsid w:val="008B1927"/>
    <w:rsid w:val="008C1CDF"/>
    <w:rsid w:val="008D1E5F"/>
    <w:rsid w:val="008E350D"/>
    <w:rsid w:val="008E50CA"/>
    <w:rsid w:val="008F3866"/>
    <w:rsid w:val="008F4FCA"/>
    <w:rsid w:val="00916742"/>
    <w:rsid w:val="0092631B"/>
    <w:rsid w:val="00930361"/>
    <w:rsid w:val="00941E6D"/>
    <w:rsid w:val="009429D9"/>
    <w:rsid w:val="0096369A"/>
    <w:rsid w:val="00973FF5"/>
    <w:rsid w:val="009748B1"/>
    <w:rsid w:val="009914A1"/>
    <w:rsid w:val="009A1EB0"/>
    <w:rsid w:val="009A24FC"/>
    <w:rsid w:val="009A5111"/>
    <w:rsid w:val="009A5DD4"/>
    <w:rsid w:val="009C4880"/>
    <w:rsid w:val="009D3BF2"/>
    <w:rsid w:val="009E28BA"/>
    <w:rsid w:val="009E3FEE"/>
    <w:rsid w:val="00A02ED5"/>
    <w:rsid w:val="00A1283A"/>
    <w:rsid w:val="00A13584"/>
    <w:rsid w:val="00A21726"/>
    <w:rsid w:val="00A25A36"/>
    <w:rsid w:val="00A337A8"/>
    <w:rsid w:val="00A35FA1"/>
    <w:rsid w:val="00A40EDF"/>
    <w:rsid w:val="00A4391A"/>
    <w:rsid w:val="00A52921"/>
    <w:rsid w:val="00A52C7A"/>
    <w:rsid w:val="00A775E1"/>
    <w:rsid w:val="00A815F6"/>
    <w:rsid w:val="00A8768F"/>
    <w:rsid w:val="00A90673"/>
    <w:rsid w:val="00AA5478"/>
    <w:rsid w:val="00AA6764"/>
    <w:rsid w:val="00AE4597"/>
    <w:rsid w:val="00AE7860"/>
    <w:rsid w:val="00AF2B48"/>
    <w:rsid w:val="00AF65C7"/>
    <w:rsid w:val="00B22323"/>
    <w:rsid w:val="00B321C8"/>
    <w:rsid w:val="00B376DD"/>
    <w:rsid w:val="00B41DAB"/>
    <w:rsid w:val="00B477A7"/>
    <w:rsid w:val="00B505BE"/>
    <w:rsid w:val="00B548F6"/>
    <w:rsid w:val="00B63D60"/>
    <w:rsid w:val="00B71629"/>
    <w:rsid w:val="00B974B2"/>
    <w:rsid w:val="00BB345F"/>
    <w:rsid w:val="00BD2D50"/>
    <w:rsid w:val="00BE5FB1"/>
    <w:rsid w:val="00C06E09"/>
    <w:rsid w:val="00C36B83"/>
    <w:rsid w:val="00C66D20"/>
    <w:rsid w:val="00C70C5B"/>
    <w:rsid w:val="00C752A1"/>
    <w:rsid w:val="00C7772F"/>
    <w:rsid w:val="00C82A17"/>
    <w:rsid w:val="00C83E22"/>
    <w:rsid w:val="00C8584F"/>
    <w:rsid w:val="00CA7F98"/>
    <w:rsid w:val="00CB3B51"/>
    <w:rsid w:val="00CB3B64"/>
    <w:rsid w:val="00CD0CF2"/>
    <w:rsid w:val="00CD2351"/>
    <w:rsid w:val="00CF09FD"/>
    <w:rsid w:val="00D029B0"/>
    <w:rsid w:val="00D100F7"/>
    <w:rsid w:val="00D112F6"/>
    <w:rsid w:val="00D12647"/>
    <w:rsid w:val="00D154B6"/>
    <w:rsid w:val="00D15BC6"/>
    <w:rsid w:val="00D31D4F"/>
    <w:rsid w:val="00D31F13"/>
    <w:rsid w:val="00D41D14"/>
    <w:rsid w:val="00D4767E"/>
    <w:rsid w:val="00D61221"/>
    <w:rsid w:val="00D61B16"/>
    <w:rsid w:val="00D65B76"/>
    <w:rsid w:val="00D65C9A"/>
    <w:rsid w:val="00D86188"/>
    <w:rsid w:val="00D9419B"/>
    <w:rsid w:val="00D94969"/>
    <w:rsid w:val="00DB0E6D"/>
    <w:rsid w:val="00DB11B7"/>
    <w:rsid w:val="00DB5BBB"/>
    <w:rsid w:val="00DB78BB"/>
    <w:rsid w:val="00DC3A9B"/>
    <w:rsid w:val="00DD4579"/>
    <w:rsid w:val="00DD7C3F"/>
    <w:rsid w:val="00DE74EC"/>
    <w:rsid w:val="00DF32DF"/>
    <w:rsid w:val="00DF363B"/>
    <w:rsid w:val="00E00216"/>
    <w:rsid w:val="00E02D3F"/>
    <w:rsid w:val="00E15E5B"/>
    <w:rsid w:val="00E252A4"/>
    <w:rsid w:val="00E25D9E"/>
    <w:rsid w:val="00E27EF6"/>
    <w:rsid w:val="00E40666"/>
    <w:rsid w:val="00E45083"/>
    <w:rsid w:val="00E53ACD"/>
    <w:rsid w:val="00E54EE3"/>
    <w:rsid w:val="00E65499"/>
    <w:rsid w:val="00E7069C"/>
    <w:rsid w:val="00E70A43"/>
    <w:rsid w:val="00E7255C"/>
    <w:rsid w:val="00E76FC5"/>
    <w:rsid w:val="00E7716E"/>
    <w:rsid w:val="00E92B97"/>
    <w:rsid w:val="00E92C11"/>
    <w:rsid w:val="00E97510"/>
    <w:rsid w:val="00ED3ED6"/>
    <w:rsid w:val="00ED4000"/>
    <w:rsid w:val="00ED762B"/>
    <w:rsid w:val="00ED76AC"/>
    <w:rsid w:val="00EE4516"/>
    <w:rsid w:val="00EE63D3"/>
    <w:rsid w:val="00EF170F"/>
    <w:rsid w:val="00F0100D"/>
    <w:rsid w:val="00F02D53"/>
    <w:rsid w:val="00F10258"/>
    <w:rsid w:val="00F11793"/>
    <w:rsid w:val="00F20C28"/>
    <w:rsid w:val="00F227B5"/>
    <w:rsid w:val="00F256A9"/>
    <w:rsid w:val="00F46766"/>
    <w:rsid w:val="00F56824"/>
    <w:rsid w:val="00F62C4F"/>
    <w:rsid w:val="00F6785A"/>
    <w:rsid w:val="00F85EF7"/>
    <w:rsid w:val="00F918D7"/>
    <w:rsid w:val="00F9376C"/>
    <w:rsid w:val="00FA0773"/>
    <w:rsid w:val="00FC3A22"/>
    <w:rsid w:val="00FC798E"/>
    <w:rsid w:val="00FD2556"/>
    <w:rsid w:val="00FF3AEE"/>
    <w:rsid w:val="00FF4BE8"/>
    <w:rsid w:val="00FF70C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D"/>
    <w:rPr>
      <w:rFonts w:ascii="Calibri" w:eastAsia="Calibri" w:hAnsi="Calibri" w:cs="Times New Roman"/>
    </w:rPr>
  </w:style>
  <w:style w:type="paragraph" w:styleId="Heading1">
    <w:name w:val="heading 1"/>
    <w:basedOn w:val="Normal"/>
    <w:next w:val="Normal"/>
    <w:link w:val="Heading1Char"/>
    <w:uiPriority w:val="99"/>
    <w:qFormat/>
    <w:rsid w:val="007D289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289D"/>
    <w:pPr>
      <w:keepNext/>
      <w:spacing w:after="0" w:line="240" w:lineRule="auto"/>
      <w:outlineLvl w:val="1"/>
    </w:pPr>
    <w:rPr>
      <w:rFonts w:ascii="Times New Roman" w:eastAsia="Times New Roman" w:hAnsi="Times New Roman"/>
      <w:b/>
      <w:bCs/>
      <w:sz w:val="24"/>
      <w:szCs w:val="24"/>
      <w:lang w:val="en-GB" w:eastAsia="de-DE"/>
    </w:rPr>
  </w:style>
  <w:style w:type="paragraph" w:styleId="Heading4">
    <w:name w:val="heading 4"/>
    <w:basedOn w:val="Normal"/>
    <w:next w:val="Normal"/>
    <w:link w:val="Heading4Char"/>
    <w:unhideWhenUsed/>
    <w:qFormat/>
    <w:rsid w:val="007D2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8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D289D"/>
    <w:rPr>
      <w:rFonts w:ascii="Times New Roman" w:eastAsia="Times New Roman" w:hAnsi="Times New Roman" w:cs="Times New Roman"/>
      <w:b/>
      <w:bCs/>
      <w:sz w:val="24"/>
      <w:szCs w:val="24"/>
      <w:lang w:val="en-GB" w:eastAsia="de-DE"/>
    </w:rPr>
  </w:style>
  <w:style w:type="character" w:customStyle="1" w:styleId="Heading4Char">
    <w:name w:val="Heading 4 Char"/>
    <w:basedOn w:val="DefaultParagraphFont"/>
    <w:link w:val="Heading4"/>
    <w:rsid w:val="007D289D"/>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rsid w:val="007D28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89D"/>
    <w:rPr>
      <w:rFonts w:ascii="Calibri" w:eastAsia="Calibri" w:hAnsi="Calibri" w:cs="Times New Roman"/>
    </w:rPr>
  </w:style>
  <w:style w:type="paragraph" w:styleId="BalloonText">
    <w:name w:val="Balloon Text"/>
    <w:basedOn w:val="Normal"/>
    <w:link w:val="BalloonTextChar"/>
    <w:uiPriority w:val="99"/>
    <w:semiHidden/>
    <w:unhideWhenUsed/>
    <w:rsid w:val="008E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CA"/>
    <w:rPr>
      <w:rFonts w:ascii="Tahoma" w:eastAsia="Calibri" w:hAnsi="Tahoma" w:cs="Tahoma"/>
      <w:sz w:val="16"/>
      <w:szCs w:val="16"/>
    </w:rPr>
  </w:style>
  <w:style w:type="character" w:styleId="Hyperlink">
    <w:name w:val="Hyperlink"/>
    <w:basedOn w:val="DefaultParagraphFont"/>
    <w:uiPriority w:val="99"/>
    <w:unhideWhenUsed/>
    <w:rsid w:val="003E4400"/>
    <w:rPr>
      <w:color w:val="0000FF" w:themeColor="hyperlink"/>
      <w:u w:val="single"/>
    </w:rPr>
  </w:style>
  <w:style w:type="paragraph" w:styleId="Header">
    <w:name w:val="header"/>
    <w:basedOn w:val="Normal"/>
    <w:link w:val="HeaderChar"/>
    <w:uiPriority w:val="99"/>
    <w:unhideWhenUsed/>
    <w:rsid w:val="00F6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4F"/>
    <w:rPr>
      <w:rFonts w:ascii="Calibri" w:eastAsia="Calibri" w:hAnsi="Calibri" w:cs="Times New Roman"/>
    </w:rPr>
  </w:style>
  <w:style w:type="paragraph" w:styleId="PlainText">
    <w:name w:val="Plain Text"/>
    <w:basedOn w:val="Normal"/>
    <w:link w:val="PlainTextChar"/>
    <w:uiPriority w:val="99"/>
    <w:semiHidden/>
    <w:unhideWhenUsed/>
    <w:rsid w:val="00F62C4F"/>
    <w:pPr>
      <w:spacing w:after="0" w:line="240" w:lineRule="auto"/>
    </w:pPr>
    <w:rPr>
      <w:rFonts w:ascii="Arial" w:eastAsia="Times New Roman" w:hAnsi="Arial" w:cs="Arial"/>
      <w:sz w:val="20"/>
    </w:rPr>
  </w:style>
  <w:style w:type="character" w:customStyle="1" w:styleId="PlainTextChar">
    <w:name w:val="Plain Text Char"/>
    <w:basedOn w:val="DefaultParagraphFont"/>
    <w:link w:val="PlainText"/>
    <w:uiPriority w:val="99"/>
    <w:semiHidden/>
    <w:rsid w:val="00F62C4F"/>
    <w:rPr>
      <w:rFonts w:ascii="Arial" w:eastAsia="Times New Roman" w:hAnsi="Arial" w:cs="Arial"/>
      <w:sz w:val="20"/>
    </w:rPr>
  </w:style>
  <w:style w:type="character" w:styleId="FollowedHyperlink">
    <w:name w:val="FollowedHyperlink"/>
    <w:basedOn w:val="DefaultParagraphFont"/>
    <w:uiPriority w:val="99"/>
    <w:semiHidden/>
    <w:unhideWhenUsed/>
    <w:rsid w:val="00F62C4F"/>
    <w:rPr>
      <w:color w:val="800080" w:themeColor="followedHyperlink"/>
      <w:u w:val="single"/>
    </w:rPr>
  </w:style>
  <w:style w:type="paragraph" w:customStyle="1" w:styleId="doStatus">
    <w:name w:val="doStatus"/>
    <w:basedOn w:val="Normal"/>
    <w:qFormat/>
    <w:rsid w:val="002D1094"/>
    <w:pPr>
      <w:framePr w:wrap="around" w:vAnchor="page" w:hAnchor="page" w:xAlign="right" w:yAlign="center"/>
      <w:spacing w:after="0" w:line="1000" w:lineRule="exact"/>
      <w:jc w:val="center"/>
    </w:pPr>
    <w:rPr>
      <w:rFonts w:ascii="Times New Roman" w:eastAsia="Times New Roman" w:hAnsi="Times New Roman"/>
      <w:noProof/>
      <w:w w:val="125"/>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89D"/>
    <w:rPr>
      <w:rFonts w:ascii="Calibri" w:eastAsia="Calibri" w:hAnsi="Calibri" w:cs="Times New Roman"/>
    </w:rPr>
  </w:style>
  <w:style w:type="paragraph" w:styleId="Heading1">
    <w:name w:val="heading 1"/>
    <w:basedOn w:val="Normal"/>
    <w:next w:val="Normal"/>
    <w:link w:val="Heading1Char"/>
    <w:uiPriority w:val="99"/>
    <w:qFormat/>
    <w:rsid w:val="007D289D"/>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7D289D"/>
    <w:pPr>
      <w:keepNext/>
      <w:spacing w:after="0" w:line="240" w:lineRule="auto"/>
      <w:outlineLvl w:val="1"/>
    </w:pPr>
    <w:rPr>
      <w:rFonts w:ascii="Times New Roman" w:eastAsia="Times New Roman" w:hAnsi="Times New Roman"/>
      <w:b/>
      <w:bCs/>
      <w:sz w:val="24"/>
      <w:szCs w:val="24"/>
      <w:lang w:val="en-GB" w:eastAsia="de-DE"/>
    </w:rPr>
  </w:style>
  <w:style w:type="paragraph" w:styleId="Heading4">
    <w:name w:val="heading 4"/>
    <w:basedOn w:val="Normal"/>
    <w:next w:val="Normal"/>
    <w:link w:val="Heading4Char"/>
    <w:unhideWhenUsed/>
    <w:qFormat/>
    <w:rsid w:val="007D28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89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rsid w:val="007D289D"/>
    <w:rPr>
      <w:rFonts w:ascii="Times New Roman" w:eastAsia="Times New Roman" w:hAnsi="Times New Roman" w:cs="Times New Roman"/>
      <w:b/>
      <w:bCs/>
      <w:sz w:val="24"/>
      <w:szCs w:val="24"/>
      <w:lang w:val="en-GB" w:eastAsia="de-DE"/>
    </w:rPr>
  </w:style>
  <w:style w:type="character" w:customStyle="1" w:styleId="Heading4Char">
    <w:name w:val="Heading 4 Char"/>
    <w:basedOn w:val="DefaultParagraphFont"/>
    <w:link w:val="Heading4"/>
    <w:rsid w:val="007D289D"/>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rsid w:val="007D289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89D"/>
    <w:rPr>
      <w:rFonts w:ascii="Calibri" w:eastAsia="Calibri" w:hAnsi="Calibri" w:cs="Times New Roman"/>
    </w:rPr>
  </w:style>
  <w:style w:type="paragraph" w:styleId="BalloonText">
    <w:name w:val="Balloon Text"/>
    <w:basedOn w:val="Normal"/>
    <w:link w:val="BalloonTextChar"/>
    <w:uiPriority w:val="99"/>
    <w:semiHidden/>
    <w:unhideWhenUsed/>
    <w:rsid w:val="008E50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0CA"/>
    <w:rPr>
      <w:rFonts w:ascii="Tahoma" w:eastAsia="Calibri" w:hAnsi="Tahoma" w:cs="Tahoma"/>
      <w:sz w:val="16"/>
      <w:szCs w:val="16"/>
    </w:rPr>
  </w:style>
  <w:style w:type="character" w:styleId="Hyperlink">
    <w:name w:val="Hyperlink"/>
    <w:basedOn w:val="DefaultParagraphFont"/>
    <w:uiPriority w:val="99"/>
    <w:unhideWhenUsed/>
    <w:rsid w:val="003E4400"/>
    <w:rPr>
      <w:color w:val="0000FF" w:themeColor="hyperlink"/>
      <w:u w:val="single"/>
    </w:rPr>
  </w:style>
  <w:style w:type="paragraph" w:styleId="Header">
    <w:name w:val="header"/>
    <w:basedOn w:val="Normal"/>
    <w:link w:val="HeaderChar"/>
    <w:uiPriority w:val="99"/>
    <w:unhideWhenUsed/>
    <w:rsid w:val="00F62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C4F"/>
    <w:rPr>
      <w:rFonts w:ascii="Calibri" w:eastAsia="Calibri" w:hAnsi="Calibri" w:cs="Times New Roman"/>
    </w:rPr>
  </w:style>
  <w:style w:type="paragraph" w:styleId="PlainText">
    <w:name w:val="Plain Text"/>
    <w:basedOn w:val="Normal"/>
    <w:link w:val="PlainTextChar"/>
    <w:uiPriority w:val="99"/>
    <w:semiHidden/>
    <w:unhideWhenUsed/>
    <w:rsid w:val="00F62C4F"/>
    <w:pPr>
      <w:spacing w:after="0" w:line="240" w:lineRule="auto"/>
    </w:pPr>
    <w:rPr>
      <w:rFonts w:ascii="Arial" w:eastAsia="Times New Roman" w:hAnsi="Arial" w:cs="Arial"/>
      <w:sz w:val="20"/>
    </w:rPr>
  </w:style>
  <w:style w:type="character" w:customStyle="1" w:styleId="PlainTextChar">
    <w:name w:val="Plain Text Char"/>
    <w:basedOn w:val="DefaultParagraphFont"/>
    <w:link w:val="PlainText"/>
    <w:uiPriority w:val="99"/>
    <w:semiHidden/>
    <w:rsid w:val="00F62C4F"/>
    <w:rPr>
      <w:rFonts w:ascii="Arial" w:eastAsia="Times New Roman" w:hAnsi="Arial" w:cs="Arial"/>
      <w:sz w:val="20"/>
    </w:rPr>
  </w:style>
  <w:style w:type="character" w:styleId="FollowedHyperlink">
    <w:name w:val="FollowedHyperlink"/>
    <w:basedOn w:val="DefaultParagraphFont"/>
    <w:uiPriority w:val="99"/>
    <w:semiHidden/>
    <w:unhideWhenUsed/>
    <w:rsid w:val="00F62C4F"/>
    <w:rPr>
      <w:color w:val="800080" w:themeColor="followedHyperlink"/>
      <w:u w:val="single"/>
    </w:rPr>
  </w:style>
  <w:style w:type="paragraph" w:customStyle="1" w:styleId="doStatus">
    <w:name w:val="doStatus"/>
    <w:basedOn w:val="Normal"/>
    <w:qFormat/>
    <w:rsid w:val="002D1094"/>
    <w:pPr>
      <w:framePr w:wrap="around" w:vAnchor="page" w:hAnchor="page" w:xAlign="right" w:yAlign="center"/>
      <w:spacing w:after="0" w:line="1000" w:lineRule="exact"/>
      <w:jc w:val="center"/>
    </w:pPr>
    <w:rPr>
      <w:rFonts w:ascii="Times New Roman" w:eastAsia="Times New Roman" w:hAnsi="Times New Roman"/>
      <w:noProof/>
      <w:w w:val="125"/>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13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ur.nl/studiekeuze/erasmus_universiteit/bereikbaarheid_plattegronden/route_plattegronden_woudestein/"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NautaDutilh</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Cohen Jehoram, Tobias</cp:lastModifiedBy>
  <cp:revision>2</cp:revision>
  <dcterms:created xsi:type="dcterms:W3CDTF">2014-08-26T16:30:00Z</dcterms:created>
  <dcterms:modified xsi:type="dcterms:W3CDTF">2014-08-26T16:30:00Z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oFAAXzy6TWd89pjnGakhlj18LlaITr3W5r63fzmChfHDOIW+vSeVEFHJ5oKnpEzZrljXfHc/YMcfye0w
bkUTSTFchoO2yVVK/DF0yRcDyQ/5+0xWPtak7uGO9KwzqrXI9EpMLtNhL5hJjqJgO5KBZ8zEezff
NkmxxiOjK4mXC3FgUQcGcwEsHjs5VJezDCT2UmHBJ8MlJLYAPixXyrz77I6GyikXSZbJSN/o/weY
9JMa4fkhwumyGrpYq</vt:lpwstr>
  </property>
  <property fmtid="{D5CDD505-2E9C-101B-9397-08002B2CF9AE}" pid="3" name="MAIL_MSG_ID2">
    <vt:lpwstr>MTefBwoOZfqjNBA8SAxOqTh3suCmnHcSWP+k2iRUdsYrQMefzelAq7cOmp+
siCirFfGdAJsUcDDv6G0520RRieFTQChvgDihEZ9AhwMpSkW</vt:lpwstr>
  </property>
  <property fmtid="{D5CDD505-2E9C-101B-9397-08002B2CF9AE}" pid="4" name="RESPONSE_SENDER_NAME">
    <vt:lpwstr>sAAAE9kkUq3pEoKz28HcqFBUWtw4R3Mg/jdFxeBQ4tiBfzc=</vt:lpwstr>
  </property>
  <property fmtid="{D5CDD505-2E9C-101B-9397-08002B2CF9AE}" pid="5" name="EMAIL_OWNER_ADDRESS">
    <vt:lpwstr>ABAAJXrvhtoYpC4OreqfmAX1jxUrahLv88zTibf5JVgJIz2sfCBiRvqwhtgH8egcXTLV</vt:lpwstr>
  </property>
  <property fmtid="{D5CDD505-2E9C-101B-9397-08002B2CF9AE}" pid="6" name="tikitDocNumber">
    <vt:lpwstr/>
  </property>
  <property fmtid="{D5CDD505-2E9C-101B-9397-08002B2CF9AE}" pid="7" name="tikitVersionNumber">
    <vt:lpwstr/>
  </property>
  <property fmtid="{D5CDD505-2E9C-101B-9397-08002B2CF9AE}" pid="8" name="tikitDocDescription">
    <vt:lpwstr/>
  </property>
  <property fmtid="{D5CDD505-2E9C-101B-9397-08002B2CF9AE}" pid="9" name="tikitAuthorID">
    <vt:lpwstr/>
  </property>
  <property fmtid="{D5CDD505-2E9C-101B-9397-08002B2CF9AE}" pid="10" name="tikitAuthor">
    <vt:lpwstr/>
  </property>
  <property fmtid="{D5CDD505-2E9C-101B-9397-08002B2CF9AE}" pid="11" name="tikitTypistID">
    <vt:lpwstr/>
  </property>
  <property fmtid="{D5CDD505-2E9C-101B-9397-08002B2CF9AE}" pid="12" name="tikitClientID">
    <vt:lpwstr/>
  </property>
  <property fmtid="{D5CDD505-2E9C-101B-9397-08002B2CF9AE}" pid="13" name="tikitClientDescription">
    <vt:lpwstr/>
  </property>
  <property fmtid="{D5CDD505-2E9C-101B-9397-08002B2CF9AE}" pid="14" name="tikitMatterID">
    <vt:lpwstr/>
  </property>
  <property fmtid="{D5CDD505-2E9C-101B-9397-08002B2CF9AE}" pid="15" name="tikitMatterDescription">
    <vt:lpwstr/>
  </property>
  <property fmtid="{D5CDD505-2E9C-101B-9397-08002B2CF9AE}" pid="16" name="tikitDocRef">
    <vt:lpwstr/>
  </property>
</Properties>
</file>