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D" w:rsidRPr="00EF170F" w:rsidRDefault="007D289D" w:rsidP="007D289D">
      <w:pPr>
        <w:jc w:val="center"/>
        <w:rPr>
          <w:rFonts w:ascii="Times New Roman" w:hAnsi="Times New Roman"/>
          <w:b/>
          <w:sz w:val="36"/>
          <w:szCs w:val="36"/>
        </w:rPr>
      </w:pPr>
      <w:r w:rsidRPr="00EF170F">
        <w:rPr>
          <w:rFonts w:ascii="Times New Roman" w:hAnsi="Times New Roman"/>
          <w:b/>
          <w:sz w:val="36"/>
          <w:szCs w:val="36"/>
        </w:rPr>
        <w:t>TRADE MARK LAW INSTITUTE</w:t>
      </w:r>
    </w:p>
    <w:p w:rsidR="007D289D" w:rsidRPr="004E1F97" w:rsidRDefault="007D289D" w:rsidP="007D289D">
      <w:pPr>
        <w:jc w:val="center"/>
        <w:rPr>
          <w:sz w:val="20"/>
          <w:szCs w:val="20"/>
        </w:rPr>
      </w:pPr>
      <w:r w:rsidRPr="004E1F97">
        <w:rPr>
          <w:sz w:val="20"/>
          <w:szCs w:val="20"/>
        </w:rPr>
        <w:t>Leiden-Nijmegen-Groningen-Amsterdam</w:t>
      </w:r>
      <w:r>
        <w:rPr>
          <w:sz w:val="20"/>
          <w:szCs w:val="20"/>
        </w:rPr>
        <w:t>-Rotterdam</w:t>
      </w:r>
    </w:p>
    <w:p w:rsidR="007D289D" w:rsidRPr="004E1F97" w:rsidRDefault="007D289D" w:rsidP="007D289D">
      <w:pPr>
        <w:jc w:val="center"/>
        <w:rPr>
          <w:sz w:val="20"/>
          <w:szCs w:val="20"/>
        </w:rPr>
      </w:pPr>
    </w:p>
    <w:p w:rsidR="007D289D" w:rsidRDefault="007D289D" w:rsidP="007D289D">
      <w:pPr>
        <w:jc w:val="center"/>
        <w:rPr>
          <w:b/>
          <w:color w:val="FF0000"/>
          <w:lang w:val="en-US"/>
        </w:rPr>
      </w:pPr>
      <w:r w:rsidRPr="008E50CA">
        <w:rPr>
          <w:b/>
          <w:color w:val="FF0000"/>
          <w:lang w:val="en-US"/>
        </w:rPr>
        <w:t>4th TLI SYMPOSIUM</w:t>
      </w:r>
    </w:p>
    <w:p w:rsidR="00D12647" w:rsidRPr="008E50CA" w:rsidRDefault="00D12647" w:rsidP="007D289D">
      <w:pPr>
        <w:jc w:val="center"/>
        <w:rPr>
          <w:b/>
          <w:color w:val="FF0000"/>
          <w:lang w:val="en-US"/>
        </w:rPr>
      </w:pPr>
      <w:r>
        <w:rPr>
          <w:b/>
          <w:color w:val="FF0000"/>
          <w:lang w:val="en-US"/>
        </w:rPr>
        <w:t>TRADE MARK LAW, USE RESTRICTIONS and PUBLIC POLICY</w:t>
      </w:r>
    </w:p>
    <w:p w:rsidR="007D289D" w:rsidRPr="00565A63" w:rsidRDefault="007D289D" w:rsidP="007D289D">
      <w:pPr>
        <w:jc w:val="center"/>
        <w:rPr>
          <w:sz w:val="32"/>
          <w:szCs w:val="32"/>
          <w:lang w:val="en-US"/>
        </w:rPr>
      </w:pPr>
      <w:r>
        <w:rPr>
          <w:sz w:val="32"/>
          <w:szCs w:val="32"/>
          <w:lang w:val="en-US"/>
        </w:rPr>
        <w:t>May 31-June 1</w:t>
      </w:r>
      <w:r w:rsidRPr="00565A63">
        <w:rPr>
          <w:sz w:val="32"/>
          <w:szCs w:val="32"/>
          <w:lang w:val="en-US"/>
        </w:rPr>
        <w:t xml:space="preserve"> 201</w:t>
      </w:r>
      <w:r>
        <w:rPr>
          <w:sz w:val="32"/>
          <w:szCs w:val="32"/>
          <w:lang w:val="en-US"/>
        </w:rPr>
        <w:t>3</w:t>
      </w:r>
    </w:p>
    <w:p w:rsidR="007D289D" w:rsidRDefault="007D289D" w:rsidP="007D289D">
      <w:pPr>
        <w:jc w:val="center"/>
        <w:rPr>
          <w:sz w:val="32"/>
          <w:szCs w:val="32"/>
          <w:lang w:val="en-US"/>
        </w:rPr>
      </w:pPr>
      <w:r w:rsidRPr="00DE056B">
        <w:rPr>
          <w:sz w:val="32"/>
          <w:szCs w:val="32"/>
          <w:lang w:val="en-US"/>
        </w:rPr>
        <w:t>Fac</w:t>
      </w:r>
      <w:r w:rsidR="008E50CA">
        <w:rPr>
          <w:sz w:val="32"/>
          <w:szCs w:val="32"/>
          <w:lang w:val="en-US"/>
        </w:rPr>
        <w:t>u</w:t>
      </w:r>
      <w:r w:rsidRPr="00DE056B">
        <w:rPr>
          <w:sz w:val="32"/>
          <w:szCs w:val="32"/>
          <w:lang w:val="en-US"/>
        </w:rPr>
        <w:t>lty of Law, University</w:t>
      </w:r>
      <w:r>
        <w:rPr>
          <w:sz w:val="32"/>
          <w:szCs w:val="32"/>
          <w:lang w:val="en-US"/>
        </w:rPr>
        <w:t xml:space="preserve"> of Groningen (founded 1614)</w:t>
      </w:r>
    </w:p>
    <w:p w:rsidR="007D289D" w:rsidRPr="00F62C4F" w:rsidRDefault="003E4400" w:rsidP="007D289D">
      <w:pPr>
        <w:jc w:val="center"/>
        <w:rPr>
          <w:sz w:val="32"/>
          <w:szCs w:val="32"/>
          <w:lang w:val="en-US"/>
        </w:rPr>
      </w:pPr>
      <w:r w:rsidRPr="00F62C4F">
        <w:rPr>
          <w:sz w:val="32"/>
          <w:szCs w:val="32"/>
          <w:lang w:val="en-US"/>
        </w:rPr>
        <w:t xml:space="preserve">Friday: </w:t>
      </w:r>
      <w:r w:rsidR="007D289D" w:rsidRPr="00F62C4F">
        <w:rPr>
          <w:sz w:val="32"/>
          <w:szCs w:val="32"/>
          <w:lang w:val="en-US"/>
        </w:rPr>
        <w:t>Senaatszaal Academ</w:t>
      </w:r>
      <w:r w:rsidR="00D31D4F" w:rsidRPr="00F62C4F">
        <w:rPr>
          <w:sz w:val="32"/>
          <w:szCs w:val="32"/>
          <w:lang w:val="en-US"/>
        </w:rPr>
        <w:t>y Building</w:t>
      </w:r>
      <w:r w:rsidR="007D289D" w:rsidRPr="00F62C4F">
        <w:rPr>
          <w:sz w:val="32"/>
          <w:szCs w:val="32"/>
          <w:lang w:val="en-US"/>
        </w:rPr>
        <w:t>, Broerstraat 5, Groningen</w:t>
      </w:r>
    </w:p>
    <w:p w:rsidR="007D289D" w:rsidRPr="00F62C4F" w:rsidRDefault="007D289D" w:rsidP="007D289D">
      <w:pPr>
        <w:jc w:val="center"/>
        <w:rPr>
          <w:sz w:val="32"/>
          <w:szCs w:val="32"/>
          <w:lang w:val="en-US"/>
        </w:rPr>
      </w:pPr>
      <w:r w:rsidRPr="00F62C4F">
        <w:rPr>
          <w:sz w:val="32"/>
          <w:szCs w:val="32"/>
          <w:lang w:val="en-US"/>
        </w:rPr>
        <w:t>(</w:t>
      </w:r>
      <w:hyperlink r:id="rId7" w:history="1">
        <w:r w:rsidR="003E4400" w:rsidRPr="00F62C4F">
          <w:rPr>
            <w:rStyle w:val="Hyperlink"/>
            <w:sz w:val="32"/>
            <w:szCs w:val="32"/>
            <w:lang w:val="en-US"/>
          </w:rPr>
          <w:t>http://www.rug.nl/about-us/how-to-find-us/route-broerstrt5</w:t>
        </w:r>
      </w:hyperlink>
      <w:r w:rsidRPr="00F62C4F">
        <w:rPr>
          <w:sz w:val="32"/>
          <w:szCs w:val="32"/>
          <w:lang w:val="en-US"/>
        </w:rPr>
        <w:t>)</w:t>
      </w:r>
    </w:p>
    <w:p w:rsidR="00F62C4F" w:rsidRPr="00F62C4F" w:rsidRDefault="003E4400" w:rsidP="00F62C4F">
      <w:pPr>
        <w:pStyle w:val="PlainText"/>
        <w:jc w:val="center"/>
        <w:rPr>
          <w:rFonts w:ascii="Calibri" w:eastAsia="Calibri" w:hAnsi="Calibri" w:cs="Times New Roman"/>
          <w:sz w:val="32"/>
          <w:szCs w:val="32"/>
          <w:lang w:val="en-US"/>
        </w:rPr>
      </w:pPr>
      <w:r w:rsidRPr="00F62C4F">
        <w:rPr>
          <w:rFonts w:ascii="Calibri" w:eastAsia="Calibri" w:hAnsi="Calibri" w:cs="Times New Roman"/>
          <w:sz w:val="32"/>
          <w:szCs w:val="32"/>
          <w:lang w:val="en-US"/>
        </w:rPr>
        <w:t xml:space="preserve">Saturday: Board Room of the University, </w:t>
      </w:r>
      <w:r w:rsidR="00F62C4F" w:rsidRPr="00F62C4F">
        <w:rPr>
          <w:rFonts w:ascii="Calibri" w:eastAsia="Calibri" w:hAnsi="Calibri" w:cs="Times New Roman"/>
          <w:sz w:val="32"/>
          <w:szCs w:val="32"/>
          <w:lang w:val="en-US"/>
        </w:rPr>
        <w:t>Oude Boteringestraat 44</w:t>
      </w:r>
      <w:r w:rsidR="00F62C4F">
        <w:rPr>
          <w:rFonts w:ascii="Calibri" w:eastAsia="Calibri" w:hAnsi="Calibri" w:cs="Times New Roman"/>
          <w:sz w:val="32"/>
          <w:szCs w:val="32"/>
          <w:lang w:val="en-US"/>
        </w:rPr>
        <w:t>, Groningen</w:t>
      </w:r>
    </w:p>
    <w:p w:rsidR="00F62C4F" w:rsidRPr="00F62C4F" w:rsidRDefault="00F62C4F" w:rsidP="00F62C4F">
      <w:pPr>
        <w:pStyle w:val="PlainText"/>
        <w:rPr>
          <w:lang w:val="en-US"/>
        </w:rPr>
      </w:pPr>
    </w:p>
    <w:p w:rsidR="00F62C4F" w:rsidRPr="00F62C4F" w:rsidRDefault="00F62C4F" w:rsidP="00F62C4F">
      <w:pPr>
        <w:pStyle w:val="PlainText"/>
        <w:jc w:val="center"/>
        <w:rPr>
          <w:rStyle w:val="Hyperlink"/>
          <w:rFonts w:ascii="Calibri" w:eastAsia="Calibri" w:hAnsi="Calibri" w:cs="Times New Roman"/>
          <w:sz w:val="32"/>
          <w:szCs w:val="32"/>
          <w:lang w:val="en-US"/>
        </w:rPr>
      </w:pPr>
    </w:p>
    <w:p w:rsidR="003E4400" w:rsidRPr="00F62C4F" w:rsidRDefault="003E4400" w:rsidP="007D289D">
      <w:pPr>
        <w:jc w:val="center"/>
        <w:rPr>
          <w:sz w:val="32"/>
          <w:szCs w:val="32"/>
          <w:lang w:val="en-US"/>
        </w:rPr>
      </w:pPr>
      <w:r w:rsidRPr="00F62C4F">
        <w:rPr>
          <w:sz w:val="32"/>
          <w:szCs w:val="32"/>
          <w:lang w:val="en-US"/>
        </w:rPr>
        <w:t>......</w:t>
      </w:r>
    </w:p>
    <w:p w:rsidR="007D289D" w:rsidRPr="00F62C4F" w:rsidRDefault="007D289D" w:rsidP="007D289D">
      <w:pPr>
        <w:jc w:val="center"/>
        <w:rPr>
          <w:sz w:val="32"/>
          <w:szCs w:val="32"/>
          <w:lang w:val="en-US"/>
        </w:rPr>
      </w:pPr>
    </w:p>
    <w:p w:rsidR="00EF170F" w:rsidRDefault="00EF170F" w:rsidP="007D289D">
      <w:pPr>
        <w:jc w:val="center"/>
        <w:rPr>
          <w:sz w:val="32"/>
          <w:szCs w:val="32"/>
          <w:lang w:val="en-US"/>
        </w:rPr>
      </w:pPr>
      <w:r>
        <w:rPr>
          <w:sz w:val="32"/>
          <w:szCs w:val="32"/>
          <w:lang w:val="en-US"/>
        </w:rPr>
        <w:t>PURPOSE OF THE CONFERENCE</w:t>
      </w:r>
    </w:p>
    <w:p w:rsidR="00EF170F" w:rsidRDefault="00EF170F" w:rsidP="00EF170F">
      <w:pPr>
        <w:rPr>
          <w:sz w:val="32"/>
          <w:szCs w:val="32"/>
          <w:lang w:val="en-US"/>
        </w:rPr>
      </w:pPr>
    </w:p>
    <w:p w:rsidR="00EF170F" w:rsidRDefault="00EF170F" w:rsidP="00EF170F">
      <w:pPr>
        <w:rPr>
          <w:sz w:val="32"/>
          <w:szCs w:val="32"/>
          <w:lang w:val="en-US"/>
        </w:rPr>
      </w:pPr>
      <w:r>
        <w:rPr>
          <w:sz w:val="32"/>
          <w:szCs w:val="32"/>
          <w:lang w:val="en-US"/>
        </w:rPr>
        <w:t xml:space="preserve">The purpose of this conference is to study and discuss the influence of public policy on the existence of trade marks. We have lived in times where trade marks could be obtained without other requirements than that they need to be distinctive of particular goods or services, that they should not be misleading or against public order or morality. </w:t>
      </w:r>
      <w:r w:rsidR="001A63F4">
        <w:rPr>
          <w:sz w:val="32"/>
          <w:szCs w:val="32"/>
          <w:lang w:val="en-US"/>
        </w:rPr>
        <w:t>This</w:t>
      </w:r>
      <w:r>
        <w:rPr>
          <w:sz w:val="32"/>
          <w:szCs w:val="32"/>
          <w:lang w:val="en-US"/>
        </w:rPr>
        <w:t xml:space="preserve"> basic principle is given in art. 6</w:t>
      </w:r>
      <w:r w:rsidR="00D31D4F" w:rsidRPr="00D31D4F">
        <w:rPr>
          <w:i/>
          <w:sz w:val="32"/>
          <w:szCs w:val="32"/>
          <w:lang w:val="en-US"/>
        </w:rPr>
        <w:t>quinquies</w:t>
      </w:r>
      <w:r>
        <w:rPr>
          <w:sz w:val="32"/>
          <w:szCs w:val="32"/>
          <w:lang w:val="en-US"/>
        </w:rPr>
        <w:t xml:space="preserve"> Paris Convention</w:t>
      </w:r>
      <w:r w:rsidR="001A63F4">
        <w:rPr>
          <w:sz w:val="32"/>
          <w:szCs w:val="32"/>
          <w:lang w:val="en-US"/>
        </w:rPr>
        <w:t xml:space="preserve">. </w:t>
      </w:r>
    </w:p>
    <w:p w:rsidR="00A1283A" w:rsidRDefault="001A63F4" w:rsidP="00EF170F">
      <w:pPr>
        <w:rPr>
          <w:sz w:val="32"/>
          <w:szCs w:val="32"/>
          <w:lang w:val="en-US"/>
        </w:rPr>
      </w:pPr>
      <w:r>
        <w:rPr>
          <w:sz w:val="32"/>
          <w:szCs w:val="32"/>
          <w:lang w:val="en-US"/>
        </w:rPr>
        <w:t xml:space="preserve">Once obtained </w:t>
      </w:r>
      <w:r w:rsidR="00B63D60">
        <w:rPr>
          <w:sz w:val="32"/>
          <w:szCs w:val="32"/>
          <w:lang w:val="en-US"/>
        </w:rPr>
        <w:t>(</w:t>
      </w:r>
      <w:r>
        <w:rPr>
          <w:sz w:val="32"/>
          <w:szCs w:val="32"/>
          <w:lang w:val="en-US"/>
        </w:rPr>
        <w:t>mostly by registration</w:t>
      </w:r>
      <w:r w:rsidR="00B63D60">
        <w:rPr>
          <w:sz w:val="32"/>
          <w:szCs w:val="32"/>
          <w:lang w:val="en-US"/>
        </w:rPr>
        <w:t>)</w:t>
      </w:r>
      <w:r>
        <w:rPr>
          <w:sz w:val="32"/>
          <w:szCs w:val="32"/>
          <w:lang w:val="en-US"/>
        </w:rPr>
        <w:t>, the li</w:t>
      </w:r>
      <w:r w:rsidR="00A02ED5">
        <w:rPr>
          <w:sz w:val="32"/>
          <w:szCs w:val="32"/>
          <w:lang w:val="en-US"/>
        </w:rPr>
        <w:t>f</w:t>
      </w:r>
      <w:r>
        <w:rPr>
          <w:sz w:val="32"/>
          <w:szCs w:val="32"/>
          <w:lang w:val="en-US"/>
        </w:rPr>
        <w:t xml:space="preserve">e of a trade mark seems reasonably quiet in legal terms except that the prior rights of third parties should be respected. </w:t>
      </w:r>
      <w:r w:rsidR="0055280A">
        <w:rPr>
          <w:sz w:val="32"/>
          <w:szCs w:val="32"/>
          <w:lang w:val="en-US"/>
        </w:rPr>
        <w:t>But a</w:t>
      </w:r>
      <w:r>
        <w:rPr>
          <w:sz w:val="32"/>
          <w:szCs w:val="32"/>
          <w:lang w:val="en-US"/>
        </w:rPr>
        <w:t xml:space="preserve"> trade mark of course is not just </w:t>
      </w:r>
      <w:r>
        <w:rPr>
          <w:sz w:val="32"/>
          <w:szCs w:val="32"/>
          <w:lang w:val="en-US"/>
        </w:rPr>
        <w:lastRenderedPageBreak/>
        <w:t xml:space="preserve">made for purely legal reasons. </w:t>
      </w:r>
      <w:r w:rsidR="0055280A">
        <w:rPr>
          <w:sz w:val="32"/>
          <w:szCs w:val="32"/>
          <w:lang w:val="en-US"/>
        </w:rPr>
        <w:t xml:space="preserve">It serves entrepreneurs to build and maintain a market position and communicate with the market. However the freedom to operate seems to be challenged </w:t>
      </w:r>
      <w:r w:rsidR="00B63D60">
        <w:rPr>
          <w:sz w:val="32"/>
          <w:szCs w:val="32"/>
          <w:lang w:val="en-US"/>
        </w:rPr>
        <w:t xml:space="preserve">for public policy reasons </w:t>
      </w:r>
      <w:r w:rsidR="0055280A">
        <w:rPr>
          <w:sz w:val="32"/>
          <w:szCs w:val="32"/>
          <w:lang w:val="en-US"/>
        </w:rPr>
        <w:t xml:space="preserve">more and more and the </w:t>
      </w:r>
      <w:r w:rsidR="00D12647">
        <w:rPr>
          <w:sz w:val="32"/>
          <w:szCs w:val="32"/>
          <w:lang w:val="en-US"/>
        </w:rPr>
        <w:t>q</w:t>
      </w:r>
      <w:r w:rsidR="0055280A">
        <w:rPr>
          <w:sz w:val="32"/>
          <w:szCs w:val="32"/>
          <w:lang w:val="en-US"/>
        </w:rPr>
        <w:t xml:space="preserve">uestion is how far </w:t>
      </w:r>
      <w:r w:rsidR="00B63D60">
        <w:rPr>
          <w:sz w:val="32"/>
          <w:szCs w:val="32"/>
          <w:lang w:val="en-US"/>
        </w:rPr>
        <w:t>public policy can</w:t>
      </w:r>
      <w:r w:rsidR="0055280A">
        <w:rPr>
          <w:sz w:val="32"/>
          <w:szCs w:val="32"/>
          <w:lang w:val="en-US"/>
        </w:rPr>
        <w:t xml:space="preserve"> go in restricting the use of trademarks. We have already seen legislation obliging companies to put particular indications on their packaging. One can think of </w:t>
      </w:r>
      <w:r w:rsidR="00A1283A">
        <w:rPr>
          <w:sz w:val="32"/>
          <w:szCs w:val="32"/>
          <w:lang w:val="en-US"/>
        </w:rPr>
        <w:t xml:space="preserve">indications concerning the use of the product, such as dosage information or information that would make a recall possible. Such </w:t>
      </w:r>
      <w:r w:rsidR="0055280A">
        <w:rPr>
          <w:sz w:val="32"/>
          <w:szCs w:val="32"/>
          <w:lang w:val="en-US"/>
        </w:rPr>
        <w:t xml:space="preserve">obligations </w:t>
      </w:r>
      <w:r w:rsidR="00A1283A">
        <w:rPr>
          <w:sz w:val="32"/>
          <w:szCs w:val="32"/>
          <w:lang w:val="en-US"/>
        </w:rPr>
        <w:t>are more or less accepted.</w:t>
      </w:r>
    </w:p>
    <w:p w:rsidR="0092631B" w:rsidRDefault="00A1283A" w:rsidP="000D657D">
      <w:pPr>
        <w:autoSpaceDE w:val="0"/>
        <w:autoSpaceDN w:val="0"/>
        <w:adjustRightInd w:val="0"/>
        <w:spacing w:after="0" w:line="240" w:lineRule="auto"/>
        <w:rPr>
          <w:sz w:val="32"/>
          <w:szCs w:val="32"/>
          <w:lang w:val="en-US"/>
        </w:rPr>
      </w:pPr>
      <w:r>
        <w:rPr>
          <w:sz w:val="32"/>
          <w:szCs w:val="32"/>
          <w:lang w:val="en-US"/>
        </w:rPr>
        <w:t xml:space="preserve">However we are </w:t>
      </w:r>
      <w:r w:rsidR="005414A5">
        <w:rPr>
          <w:sz w:val="32"/>
          <w:szCs w:val="32"/>
          <w:lang w:val="en-US"/>
        </w:rPr>
        <w:t>more and more</w:t>
      </w:r>
      <w:r>
        <w:rPr>
          <w:sz w:val="32"/>
          <w:szCs w:val="32"/>
          <w:lang w:val="en-US"/>
        </w:rPr>
        <w:t xml:space="preserve"> confronted with legislation that would restrict the use of the trade marks themselves either by banning their use (</w:t>
      </w:r>
      <w:r w:rsidR="005414A5">
        <w:rPr>
          <w:sz w:val="32"/>
          <w:szCs w:val="32"/>
          <w:lang w:val="en-US"/>
        </w:rPr>
        <w:t xml:space="preserve">ban on use of tobacco trade marks on </w:t>
      </w:r>
      <w:r w:rsidR="008E50CA">
        <w:rPr>
          <w:sz w:val="32"/>
          <w:szCs w:val="32"/>
          <w:lang w:val="en-US"/>
        </w:rPr>
        <w:t>non-tobacco</w:t>
      </w:r>
      <w:r w:rsidR="005414A5">
        <w:rPr>
          <w:sz w:val="32"/>
          <w:szCs w:val="32"/>
          <w:lang w:val="en-US"/>
        </w:rPr>
        <w:t xml:space="preserve"> products; ban on </w:t>
      </w:r>
      <w:r>
        <w:rPr>
          <w:sz w:val="32"/>
          <w:szCs w:val="32"/>
          <w:lang w:val="en-US"/>
        </w:rPr>
        <w:t xml:space="preserve">logo’s on tobacco products in Australia) or restricting the use (caused by health warnings on such products). </w:t>
      </w:r>
      <w:r w:rsidR="0055280A">
        <w:rPr>
          <w:sz w:val="32"/>
          <w:szCs w:val="32"/>
          <w:lang w:val="en-US"/>
        </w:rPr>
        <w:t xml:space="preserve">The obvious example </w:t>
      </w:r>
      <w:r>
        <w:rPr>
          <w:sz w:val="32"/>
          <w:szCs w:val="32"/>
          <w:lang w:val="en-US"/>
        </w:rPr>
        <w:t xml:space="preserve">of far going legislation concerns what is known as </w:t>
      </w:r>
      <w:r w:rsidR="0055280A">
        <w:rPr>
          <w:sz w:val="32"/>
          <w:szCs w:val="32"/>
          <w:lang w:val="en-US"/>
        </w:rPr>
        <w:t xml:space="preserve">plain packaging of tobacco products. </w:t>
      </w:r>
      <w:r w:rsidR="00DD7C3F">
        <w:rPr>
          <w:sz w:val="32"/>
          <w:szCs w:val="32"/>
          <w:lang w:val="en-US"/>
        </w:rPr>
        <w:t>But this certainly is not only an issue in the tobacco industry. For example: the State of Kuwait notified the WTO council of a measure according to which any propaganda for breast feed substitutes is forbidden together with a ban on the use of</w:t>
      </w:r>
      <w:r w:rsidR="001A63F4">
        <w:rPr>
          <w:sz w:val="32"/>
          <w:szCs w:val="32"/>
          <w:lang w:val="en-US"/>
        </w:rPr>
        <w:t xml:space="preserve">  </w:t>
      </w:r>
      <w:r w:rsidR="00DD7C3F">
        <w:rPr>
          <w:sz w:val="32"/>
          <w:szCs w:val="32"/>
          <w:lang w:val="en-US"/>
        </w:rPr>
        <w:t>any picture that idealizes the use of infant formula (including trade marks showing such pictures)</w:t>
      </w:r>
      <w:r w:rsidR="00B63D60">
        <w:rPr>
          <w:sz w:val="32"/>
          <w:szCs w:val="32"/>
          <w:lang w:val="en-US"/>
        </w:rPr>
        <w:t>; such pictures are often part of trademarks</w:t>
      </w:r>
      <w:r w:rsidR="00DD7C3F">
        <w:rPr>
          <w:sz w:val="32"/>
          <w:szCs w:val="32"/>
          <w:lang w:val="en-US"/>
        </w:rPr>
        <w:t xml:space="preserve">. One can also think of the case </w:t>
      </w:r>
      <w:r w:rsidR="00E45083">
        <w:rPr>
          <w:sz w:val="32"/>
          <w:szCs w:val="32"/>
          <w:lang w:val="en-US"/>
        </w:rPr>
        <w:t xml:space="preserve">recently decided by </w:t>
      </w:r>
      <w:r w:rsidR="00DD7C3F">
        <w:rPr>
          <w:sz w:val="32"/>
          <w:szCs w:val="32"/>
          <w:lang w:val="en-US"/>
        </w:rPr>
        <w:t>the EFTA Court (</w:t>
      </w:r>
      <w:r w:rsidR="00E45083" w:rsidRPr="00E45083">
        <w:rPr>
          <w:sz w:val="32"/>
          <w:szCs w:val="32"/>
          <w:lang w:val="en-US"/>
        </w:rPr>
        <w:t>E-2/12), concerning the question whether Iceland could legally oppose the importation of tins containing an alcoholic beverage</w:t>
      </w:r>
      <w:r w:rsidR="00A52921">
        <w:rPr>
          <w:sz w:val="32"/>
          <w:szCs w:val="32"/>
          <w:lang w:val="en-US"/>
        </w:rPr>
        <w:t xml:space="preserve"> (TEMPT </w:t>
      </w:r>
      <w:r w:rsidR="00B63D60">
        <w:rPr>
          <w:sz w:val="32"/>
          <w:szCs w:val="32"/>
          <w:lang w:val="en-US"/>
        </w:rPr>
        <w:t xml:space="preserve">9 </w:t>
      </w:r>
      <w:r w:rsidR="00A52921">
        <w:rPr>
          <w:sz w:val="32"/>
          <w:szCs w:val="32"/>
          <w:lang w:val="en-US"/>
        </w:rPr>
        <w:t>C</w:t>
      </w:r>
      <w:r w:rsidR="00B63D60">
        <w:rPr>
          <w:sz w:val="32"/>
          <w:szCs w:val="32"/>
          <w:lang w:val="en-US"/>
        </w:rPr>
        <w:t>ider</w:t>
      </w:r>
      <w:r w:rsidR="00A52921">
        <w:rPr>
          <w:sz w:val="32"/>
          <w:szCs w:val="32"/>
          <w:lang w:val="en-US"/>
        </w:rPr>
        <w:t>)</w:t>
      </w:r>
      <w:r w:rsidR="00E45083" w:rsidRPr="00E45083">
        <w:rPr>
          <w:sz w:val="32"/>
          <w:szCs w:val="32"/>
          <w:lang w:val="en-US"/>
        </w:rPr>
        <w:t>, legally marketed in Denmark and showing naked women’s legs, based on a provision of Icelandic law forbidding that the</w:t>
      </w:r>
      <w:r w:rsidR="00E45083">
        <w:rPr>
          <w:sz w:val="32"/>
          <w:szCs w:val="32"/>
          <w:lang w:val="en-US"/>
        </w:rPr>
        <w:t xml:space="preserve"> </w:t>
      </w:r>
      <w:r w:rsidR="00E45083" w:rsidRPr="00E45083">
        <w:rPr>
          <w:sz w:val="32"/>
          <w:szCs w:val="32"/>
          <w:lang w:val="en-US"/>
        </w:rPr>
        <w:t xml:space="preserve">packaging and </w:t>
      </w:r>
      <w:r w:rsidR="00563240" w:rsidRPr="00E45083">
        <w:rPr>
          <w:sz w:val="32"/>
          <w:szCs w:val="32"/>
          <w:lang w:val="en-US"/>
        </w:rPr>
        <w:t>labeling</w:t>
      </w:r>
      <w:r w:rsidR="00E45083" w:rsidRPr="00E45083">
        <w:rPr>
          <w:sz w:val="32"/>
          <w:szCs w:val="32"/>
          <w:lang w:val="en-US"/>
        </w:rPr>
        <w:t xml:space="preserve"> of the products contain loaded or unrelated</w:t>
      </w:r>
      <w:r w:rsidR="00E45083">
        <w:rPr>
          <w:sz w:val="32"/>
          <w:szCs w:val="32"/>
          <w:lang w:val="en-US"/>
        </w:rPr>
        <w:t xml:space="preserve"> </w:t>
      </w:r>
      <w:r w:rsidR="00E45083" w:rsidRPr="00E45083">
        <w:rPr>
          <w:sz w:val="32"/>
          <w:szCs w:val="32"/>
          <w:lang w:val="en-US"/>
        </w:rPr>
        <w:t>information or suggest that alcohol enhances physical, mental, social</w:t>
      </w:r>
      <w:r w:rsidR="00E45083">
        <w:rPr>
          <w:sz w:val="32"/>
          <w:szCs w:val="32"/>
          <w:lang w:val="en-US"/>
        </w:rPr>
        <w:t xml:space="preserve"> </w:t>
      </w:r>
      <w:r w:rsidR="00E45083" w:rsidRPr="00E45083">
        <w:rPr>
          <w:sz w:val="32"/>
          <w:szCs w:val="32"/>
          <w:lang w:val="en-US"/>
        </w:rPr>
        <w:t>or sexual function and do not merely relate to the product, its</w:t>
      </w:r>
      <w:r w:rsidR="00E45083">
        <w:rPr>
          <w:sz w:val="32"/>
          <w:szCs w:val="32"/>
          <w:lang w:val="en-US"/>
        </w:rPr>
        <w:t xml:space="preserve"> </w:t>
      </w:r>
      <w:r w:rsidR="00E45083" w:rsidRPr="00E45083">
        <w:rPr>
          <w:sz w:val="32"/>
          <w:szCs w:val="32"/>
          <w:lang w:val="en-US"/>
        </w:rPr>
        <w:t>production method or its characteristics</w:t>
      </w:r>
      <w:r w:rsidR="00E45083">
        <w:rPr>
          <w:sz w:val="32"/>
          <w:szCs w:val="32"/>
          <w:lang w:val="en-US"/>
        </w:rPr>
        <w:t>.</w:t>
      </w:r>
      <w:r w:rsidR="00B63D60">
        <w:rPr>
          <w:sz w:val="32"/>
          <w:szCs w:val="32"/>
          <w:lang w:val="en-US"/>
        </w:rPr>
        <w:t xml:space="preserve"> And what can we expect regarding food products that could result in obesitas or diabetes?</w:t>
      </w:r>
    </w:p>
    <w:p w:rsidR="0092631B" w:rsidRDefault="0092631B" w:rsidP="000D657D">
      <w:pPr>
        <w:autoSpaceDE w:val="0"/>
        <w:autoSpaceDN w:val="0"/>
        <w:adjustRightInd w:val="0"/>
        <w:spacing w:after="0" w:line="240" w:lineRule="auto"/>
        <w:rPr>
          <w:sz w:val="32"/>
          <w:szCs w:val="32"/>
          <w:lang w:val="en-US"/>
        </w:rPr>
      </w:pPr>
    </w:p>
    <w:p w:rsidR="00D12647" w:rsidRDefault="0092631B" w:rsidP="000D657D">
      <w:pPr>
        <w:autoSpaceDE w:val="0"/>
        <w:autoSpaceDN w:val="0"/>
        <w:adjustRightInd w:val="0"/>
        <w:spacing w:after="0" w:line="240" w:lineRule="auto"/>
        <w:rPr>
          <w:sz w:val="32"/>
          <w:szCs w:val="32"/>
          <w:lang w:val="en-US"/>
        </w:rPr>
      </w:pPr>
      <w:r>
        <w:rPr>
          <w:sz w:val="32"/>
          <w:szCs w:val="32"/>
          <w:lang w:val="en-US"/>
        </w:rPr>
        <w:lastRenderedPageBreak/>
        <w:t>The below programme will first deal with the basic question how trademarks should be looked at. Should it be looked at as positive right to use following the essence of being a property right (</w:t>
      </w:r>
      <w:r w:rsidR="00A02ED5">
        <w:rPr>
          <w:sz w:val="32"/>
          <w:szCs w:val="32"/>
          <w:lang w:val="en-US"/>
        </w:rPr>
        <w:t>s</w:t>
      </w:r>
      <w:r>
        <w:rPr>
          <w:sz w:val="32"/>
          <w:szCs w:val="32"/>
          <w:lang w:val="en-US"/>
        </w:rPr>
        <w:t>ee for example Prof. Robert P. Merges, Justifying Intellectual Property, Harvard Universi</w:t>
      </w:r>
      <w:r w:rsidR="009429D9">
        <w:rPr>
          <w:sz w:val="32"/>
          <w:szCs w:val="32"/>
          <w:lang w:val="en-US"/>
        </w:rPr>
        <w:t>ty Press, 2011; A. Kur, EIPR 1996, 198; M. Castren, EIPR 1995, 87; U. Bernitz EIPR 1990, 137) or is not much more than a right to exclude others (for example E. Bonadio, EIPR 2012, 599)</w:t>
      </w:r>
      <w:r w:rsidR="00B63D60">
        <w:rPr>
          <w:sz w:val="32"/>
          <w:szCs w:val="32"/>
          <w:lang w:val="en-US"/>
        </w:rPr>
        <w:t>;</w:t>
      </w:r>
      <w:r w:rsidR="009429D9">
        <w:rPr>
          <w:sz w:val="32"/>
          <w:szCs w:val="32"/>
          <w:lang w:val="en-US"/>
        </w:rPr>
        <w:t xml:space="preserve"> or is it just an (advertising) means to communicate with the market (S. Maniatis, A. Kamperman Sanders, EIPR </w:t>
      </w:r>
      <w:r w:rsidR="009E3FEE">
        <w:rPr>
          <w:sz w:val="32"/>
          <w:szCs w:val="32"/>
          <w:lang w:val="en-US"/>
        </w:rPr>
        <w:t>1997, 237).</w:t>
      </w:r>
      <w:r w:rsidR="003F2423">
        <w:rPr>
          <w:sz w:val="32"/>
          <w:szCs w:val="32"/>
          <w:lang w:val="en-US"/>
        </w:rPr>
        <w:t xml:space="preserve"> </w:t>
      </w:r>
      <w:r w:rsidR="00D12647">
        <w:rPr>
          <w:sz w:val="32"/>
          <w:szCs w:val="32"/>
          <w:lang w:val="en-US"/>
        </w:rPr>
        <w:t>In this context we need to address the economic theory behind trade marks. They serve to make consumer choices easier and help to reduce search costs. Restrictions on use seem to go against this rationale.</w:t>
      </w:r>
    </w:p>
    <w:p w:rsidR="00D12647" w:rsidRDefault="00D12647" w:rsidP="000D657D">
      <w:pPr>
        <w:autoSpaceDE w:val="0"/>
        <w:autoSpaceDN w:val="0"/>
        <w:adjustRightInd w:val="0"/>
        <w:spacing w:after="0" w:line="240" w:lineRule="auto"/>
        <w:rPr>
          <w:sz w:val="32"/>
          <w:szCs w:val="32"/>
          <w:lang w:val="en-US"/>
        </w:rPr>
      </w:pPr>
    </w:p>
    <w:p w:rsidR="00EF170F" w:rsidRDefault="003F2423" w:rsidP="000D657D">
      <w:pPr>
        <w:autoSpaceDE w:val="0"/>
        <w:autoSpaceDN w:val="0"/>
        <w:adjustRightInd w:val="0"/>
        <w:spacing w:after="0" w:line="240" w:lineRule="auto"/>
        <w:rPr>
          <w:sz w:val="32"/>
          <w:szCs w:val="32"/>
          <w:lang w:val="en-US"/>
        </w:rPr>
      </w:pPr>
      <w:r>
        <w:rPr>
          <w:sz w:val="32"/>
          <w:szCs w:val="32"/>
          <w:lang w:val="en-US"/>
        </w:rPr>
        <w:t xml:space="preserve">What can we learn from the international instruments (Paris Convention, TRIPS, CTM Regulation, Trademarks Directive) as well as EU case law on trademarks and in particular the function theory as developed by the European Court of Justice? </w:t>
      </w:r>
    </w:p>
    <w:p w:rsidR="009E3FEE" w:rsidRDefault="009E3FEE" w:rsidP="000D657D">
      <w:pPr>
        <w:autoSpaceDE w:val="0"/>
        <w:autoSpaceDN w:val="0"/>
        <w:adjustRightInd w:val="0"/>
        <w:spacing w:after="0" w:line="240" w:lineRule="auto"/>
        <w:rPr>
          <w:sz w:val="32"/>
          <w:szCs w:val="32"/>
          <w:lang w:val="en-US"/>
        </w:rPr>
      </w:pPr>
    </w:p>
    <w:p w:rsidR="003F2423" w:rsidRDefault="009E3FEE" w:rsidP="0050597B">
      <w:pPr>
        <w:autoSpaceDE w:val="0"/>
        <w:autoSpaceDN w:val="0"/>
        <w:adjustRightInd w:val="0"/>
        <w:spacing w:after="0" w:line="240" w:lineRule="auto"/>
        <w:rPr>
          <w:sz w:val="32"/>
          <w:szCs w:val="32"/>
          <w:lang w:val="en-US"/>
        </w:rPr>
      </w:pPr>
      <w:r>
        <w:rPr>
          <w:sz w:val="32"/>
          <w:szCs w:val="32"/>
          <w:lang w:val="en-US"/>
        </w:rPr>
        <w:t>Then we will look into international agreement principles</w:t>
      </w:r>
      <w:r w:rsidR="003F2423">
        <w:rPr>
          <w:sz w:val="32"/>
          <w:szCs w:val="32"/>
          <w:lang w:val="en-US"/>
        </w:rPr>
        <w:t xml:space="preserve">. Are restrictions of use permissible under the Paris Convention (which in </w:t>
      </w:r>
      <w:r w:rsidR="00B63D60">
        <w:rPr>
          <w:sz w:val="32"/>
          <w:szCs w:val="32"/>
          <w:lang w:val="en-US"/>
        </w:rPr>
        <w:t xml:space="preserve">its </w:t>
      </w:r>
      <w:r w:rsidR="003F2423">
        <w:rPr>
          <w:sz w:val="32"/>
          <w:szCs w:val="32"/>
          <w:lang w:val="en-US"/>
        </w:rPr>
        <w:t>art. 6</w:t>
      </w:r>
      <w:r w:rsidR="003F2423" w:rsidRPr="00B63D60">
        <w:rPr>
          <w:i/>
          <w:sz w:val="32"/>
          <w:szCs w:val="32"/>
          <w:lang w:val="en-US"/>
        </w:rPr>
        <w:t>quinquies</w:t>
      </w:r>
      <w:r w:rsidR="003F2423">
        <w:rPr>
          <w:sz w:val="32"/>
          <w:szCs w:val="32"/>
          <w:lang w:val="en-US"/>
        </w:rPr>
        <w:t xml:space="preserve"> only seems to regulate the allowance of restrictions re. registration</w:t>
      </w:r>
      <w:r w:rsidR="0050597B">
        <w:rPr>
          <w:sz w:val="32"/>
          <w:szCs w:val="32"/>
          <w:lang w:val="en-US"/>
        </w:rPr>
        <w:t>; meaning of art. 7 in this respect?</w:t>
      </w:r>
      <w:r w:rsidR="003F2423">
        <w:rPr>
          <w:sz w:val="32"/>
          <w:szCs w:val="32"/>
          <w:lang w:val="en-US"/>
        </w:rPr>
        <w:t>)</w:t>
      </w:r>
      <w:r w:rsidR="0050597B">
        <w:rPr>
          <w:sz w:val="32"/>
          <w:szCs w:val="32"/>
          <w:lang w:val="en-US"/>
        </w:rPr>
        <w:t>,</w:t>
      </w:r>
      <w:r w:rsidR="003F2423">
        <w:rPr>
          <w:sz w:val="32"/>
          <w:szCs w:val="32"/>
          <w:lang w:val="en-US"/>
        </w:rPr>
        <w:t xml:space="preserve"> TRIPS (in particular art. </w:t>
      </w:r>
      <w:r w:rsidR="0050597B">
        <w:rPr>
          <w:sz w:val="32"/>
          <w:szCs w:val="32"/>
          <w:lang w:val="en-US"/>
        </w:rPr>
        <w:t xml:space="preserve">15(4), 17 and </w:t>
      </w:r>
      <w:r w:rsidR="003F2423">
        <w:rPr>
          <w:sz w:val="32"/>
          <w:szCs w:val="32"/>
          <w:lang w:val="en-US"/>
        </w:rPr>
        <w:t>20)</w:t>
      </w:r>
      <w:r w:rsidR="0050597B">
        <w:rPr>
          <w:sz w:val="32"/>
          <w:szCs w:val="32"/>
          <w:lang w:val="en-US"/>
        </w:rPr>
        <w:t xml:space="preserve"> and </w:t>
      </w:r>
      <w:r w:rsidR="0050597B" w:rsidRPr="0050597B">
        <w:rPr>
          <w:sz w:val="32"/>
          <w:szCs w:val="32"/>
          <w:lang w:val="en-US"/>
        </w:rPr>
        <w:t>TBT Agreement on the preparation, adoption and application</w:t>
      </w:r>
      <w:r w:rsidR="0050597B">
        <w:rPr>
          <w:sz w:val="32"/>
          <w:szCs w:val="32"/>
          <w:lang w:val="en-US"/>
        </w:rPr>
        <w:t xml:space="preserve"> </w:t>
      </w:r>
      <w:r w:rsidR="0050597B" w:rsidRPr="0050597B">
        <w:rPr>
          <w:sz w:val="32"/>
          <w:szCs w:val="32"/>
          <w:lang w:val="en-US"/>
        </w:rPr>
        <w:t>of technical regulations</w:t>
      </w:r>
      <w:r w:rsidR="0050597B">
        <w:rPr>
          <w:sz w:val="32"/>
          <w:szCs w:val="32"/>
          <w:lang w:val="en-US"/>
        </w:rPr>
        <w:t xml:space="preserve"> (in particular art. 2(2)</w:t>
      </w:r>
      <w:r w:rsidR="003F2423">
        <w:rPr>
          <w:sz w:val="32"/>
          <w:szCs w:val="32"/>
          <w:lang w:val="en-US"/>
        </w:rPr>
        <w:t>.</w:t>
      </w:r>
    </w:p>
    <w:p w:rsidR="003F2423" w:rsidRDefault="003F2423" w:rsidP="000D657D">
      <w:pPr>
        <w:autoSpaceDE w:val="0"/>
        <w:autoSpaceDN w:val="0"/>
        <w:adjustRightInd w:val="0"/>
        <w:spacing w:after="0" w:line="240" w:lineRule="auto"/>
        <w:rPr>
          <w:sz w:val="32"/>
          <w:szCs w:val="32"/>
          <w:lang w:val="en-US"/>
        </w:rPr>
      </w:pPr>
    </w:p>
    <w:p w:rsidR="009E3FEE" w:rsidRPr="00CD0CF2" w:rsidRDefault="003F2423" w:rsidP="0050597B">
      <w:pPr>
        <w:autoSpaceDE w:val="0"/>
        <w:autoSpaceDN w:val="0"/>
        <w:adjustRightInd w:val="0"/>
        <w:spacing w:after="0" w:line="240" w:lineRule="auto"/>
        <w:rPr>
          <w:sz w:val="32"/>
          <w:szCs w:val="32"/>
          <w:lang w:val="en-US"/>
        </w:rPr>
      </w:pPr>
      <w:r>
        <w:rPr>
          <w:sz w:val="32"/>
          <w:szCs w:val="32"/>
          <w:lang w:val="en-US"/>
        </w:rPr>
        <w:t xml:space="preserve">Also, the question of </w:t>
      </w:r>
      <w:r w:rsidR="00D12647">
        <w:rPr>
          <w:sz w:val="32"/>
          <w:szCs w:val="32"/>
          <w:lang w:val="en-US"/>
        </w:rPr>
        <w:t xml:space="preserve">fundamental </w:t>
      </w:r>
      <w:r>
        <w:rPr>
          <w:sz w:val="32"/>
          <w:szCs w:val="32"/>
          <w:lang w:val="en-US"/>
        </w:rPr>
        <w:t xml:space="preserve">rights and in particular </w:t>
      </w:r>
      <w:r w:rsidR="0050597B">
        <w:rPr>
          <w:sz w:val="32"/>
          <w:szCs w:val="32"/>
          <w:lang w:val="en-US"/>
        </w:rPr>
        <w:t xml:space="preserve">the fundamental right of </w:t>
      </w:r>
      <w:r w:rsidR="00D12647">
        <w:rPr>
          <w:sz w:val="32"/>
          <w:szCs w:val="32"/>
          <w:lang w:val="en-US"/>
        </w:rPr>
        <w:t xml:space="preserve">freedom of enterprise and </w:t>
      </w:r>
      <w:r w:rsidR="0050597B">
        <w:rPr>
          <w:sz w:val="32"/>
          <w:szCs w:val="32"/>
          <w:lang w:val="en-US"/>
        </w:rPr>
        <w:t xml:space="preserve">guarantee of property will be discussed (art. 1 First Protocol ECHR) also in the light of </w:t>
      </w:r>
      <w:r w:rsidR="0050597B" w:rsidRPr="0050597B">
        <w:rPr>
          <w:rFonts w:asciiTheme="minorHAnsi" w:eastAsiaTheme="minorHAnsi" w:hAnsiTheme="minorHAnsi" w:cs="Georgia"/>
          <w:i/>
          <w:iCs/>
          <w:sz w:val="32"/>
          <w:szCs w:val="32"/>
          <w:lang w:val="en-US"/>
        </w:rPr>
        <w:t xml:space="preserve">Anheuser-Busch v Portugal </w:t>
      </w:r>
      <w:r w:rsidR="0050597B" w:rsidRPr="0050597B">
        <w:rPr>
          <w:rFonts w:asciiTheme="minorHAnsi" w:eastAsiaTheme="minorHAnsi" w:hAnsiTheme="minorHAnsi" w:cs="Georgia"/>
          <w:sz w:val="32"/>
          <w:szCs w:val="32"/>
          <w:lang w:val="en-US"/>
        </w:rPr>
        <w:t xml:space="preserve">(2007) 45 EHRR 36, para. </w:t>
      </w:r>
      <w:r w:rsidR="0050597B" w:rsidRPr="00CD0CF2">
        <w:rPr>
          <w:rFonts w:asciiTheme="minorHAnsi" w:eastAsiaTheme="minorHAnsi" w:hAnsiTheme="minorHAnsi" w:cs="Georgia"/>
          <w:sz w:val="32"/>
          <w:szCs w:val="32"/>
          <w:lang w:val="en-US"/>
        </w:rPr>
        <w:t xml:space="preserve">72 and 78 and </w:t>
      </w:r>
      <w:r w:rsidR="0050597B" w:rsidRPr="00CD0CF2">
        <w:rPr>
          <w:rFonts w:asciiTheme="minorHAnsi" w:eastAsiaTheme="minorHAnsi" w:hAnsiTheme="minorHAnsi" w:cs="Georgia"/>
          <w:i/>
          <w:iCs/>
          <w:sz w:val="32"/>
          <w:szCs w:val="32"/>
          <w:lang w:val="en-US"/>
        </w:rPr>
        <w:t xml:space="preserve">Van Marle v Netherlands </w:t>
      </w:r>
      <w:r w:rsidR="0050597B" w:rsidRPr="00CD0CF2">
        <w:rPr>
          <w:rFonts w:asciiTheme="minorHAnsi" w:eastAsiaTheme="minorHAnsi" w:hAnsiTheme="minorHAnsi" w:cs="Georgia"/>
          <w:sz w:val="32"/>
          <w:szCs w:val="32"/>
          <w:lang w:val="en-US"/>
        </w:rPr>
        <w:t>(1986) 8 EHRR 483.</w:t>
      </w:r>
      <w:r w:rsidRPr="00CD0CF2">
        <w:rPr>
          <w:sz w:val="32"/>
          <w:szCs w:val="32"/>
          <w:lang w:val="en-US"/>
        </w:rPr>
        <w:t xml:space="preserve">  </w:t>
      </w:r>
    </w:p>
    <w:p w:rsidR="00D31D4F" w:rsidRPr="00CD0CF2" w:rsidRDefault="00D31D4F" w:rsidP="0050597B">
      <w:pPr>
        <w:autoSpaceDE w:val="0"/>
        <w:autoSpaceDN w:val="0"/>
        <w:adjustRightInd w:val="0"/>
        <w:spacing w:after="0" w:line="240" w:lineRule="auto"/>
        <w:rPr>
          <w:sz w:val="32"/>
          <w:szCs w:val="32"/>
          <w:lang w:val="en-US"/>
        </w:rPr>
      </w:pPr>
    </w:p>
    <w:p w:rsidR="00D31D4F" w:rsidRPr="00D31D4F" w:rsidRDefault="00D31D4F" w:rsidP="0050597B">
      <w:pPr>
        <w:autoSpaceDE w:val="0"/>
        <w:autoSpaceDN w:val="0"/>
        <w:adjustRightInd w:val="0"/>
        <w:spacing w:after="0" w:line="240" w:lineRule="auto"/>
        <w:rPr>
          <w:b/>
          <w:sz w:val="36"/>
          <w:szCs w:val="36"/>
          <w:lang w:val="en-US"/>
        </w:rPr>
      </w:pPr>
      <w:r>
        <w:rPr>
          <w:sz w:val="32"/>
          <w:szCs w:val="32"/>
          <w:lang w:val="en-US"/>
        </w:rPr>
        <w:t xml:space="preserve"> </w:t>
      </w:r>
    </w:p>
    <w:p w:rsidR="00EF170F" w:rsidRPr="00D31D4F" w:rsidRDefault="00EF170F" w:rsidP="007D289D">
      <w:pPr>
        <w:pStyle w:val="Heading2"/>
        <w:jc w:val="center"/>
        <w:rPr>
          <w:b w:val="0"/>
          <w:sz w:val="36"/>
          <w:szCs w:val="36"/>
          <w:lang w:val="en-US"/>
        </w:rPr>
      </w:pPr>
    </w:p>
    <w:p w:rsidR="00EF170F" w:rsidRPr="00D31D4F" w:rsidRDefault="00EF170F" w:rsidP="007D289D">
      <w:pPr>
        <w:pStyle w:val="Heading2"/>
        <w:jc w:val="center"/>
        <w:rPr>
          <w:b w:val="0"/>
          <w:sz w:val="36"/>
          <w:szCs w:val="36"/>
          <w:lang w:val="en-US"/>
        </w:rPr>
      </w:pPr>
    </w:p>
    <w:p w:rsidR="00EF170F" w:rsidRPr="00D31D4F" w:rsidRDefault="00EF170F" w:rsidP="007D289D">
      <w:pPr>
        <w:pStyle w:val="Heading2"/>
        <w:jc w:val="center"/>
        <w:rPr>
          <w:b w:val="0"/>
          <w:sz w:val="36"/>
          <w:szCs w:val="36"/>
          <w:lang w:val="en-US"/>
        </w:rPr>
      </w:pPr>
    </w:p>
    <w:p w:rsidR="000D657D" w:rsidRPr="00D31D4F" w:rsidRDefault="000D657D" w:rsidP="007D289D">
      <w:pPr>
        <w:pStyle w:val="Heading2"/>
        <w:jc w:val="center"/>
        <w:rPr>
          <w:b w:val="0"/>
          <w:sz w:val="36"/>
          <w:szCs w:val="36"/>
          <w:lang w:val="en-US"/>
        </w:rPr>
      </w:pPr>
    </w:p>
    <w:p w:rsidR="007D289D" w:rsidRPr="00565A63" w:rsidRDefault="007D289D" w:rsidP="007D289D">
      <w:pPr>
        <w:pStyle w:val="Heading2"/>
        <w:jc w:val="center"/>
        <w:rPr>
          <w:b w:val="0"/>
          <w:sz w:val="36"/>
          <w:szCs w:val="36"/>
        </w:rPr>
      </w:pPr>
      <w:r w:rsidRPr="00565A63">
        <w:rPr>
          <w:b w:val="0"/>
          <w:sz w:val="36"/>
          <w:szCs w:val="36"/>
        </w:rPr>
        <w:t>PROGRAMME</w:t>
      </w:r>
    </w:p>
    <w:p w:rsidR="007D289D" w:rsidRPr="00AC4E04" w:rsidRDefault="007D289D" w:rsidP="007D289D">
      <w:pPr>
        <w:pStyle w:val="Heading1"/>
        <w:rPr>
          <w:lang w:val="en-US"/>
        </w:rPr>
      </w:pPr>
      <w:r w:rsidRPr="00AC4E04">
        <w:rPr>
          <w:lang w:val="en-US"/>
        </w:rPr>
        <w:t xml:space="preserve">Friday, </w:t>
      </w:r>
      <w:r>
        <w:rPr>
          <w:lang w:val="en-US"/>
        </w:rPr>
        <w:t>31 May 2013</w:t>
      </w:r>
    </w:p>
    <w:p w:rsidR="007D289D" w:rsidRDefault="007D289D" w:rsidP="007D289D">
      <w:pPr>
        <w:pStyle w:val="Heading4"/>
        <w:rPr>
          <w:lang w:val="en-GB"/>
        </w:rPr>
      </w:pPr>
      <w:r>
        <w:rPr>
          <w:lang w:val="en-GB"/>
        </w:rPr>
        <w:t>13.30</w:t>
      </w:r>
      <w:r>
        <w:rPr>
          <w:lang w:val="en-GB"/>
        </w:rPr>
        <w:tab/>
        <w:t xml:space="preserve">Registration and coffee </w:t>
      </w:r>
    </w:p>
    <w:p w:rsidR="00D31F13" w:rsidRDefault="007D289D" w:rsidP="00D31F13">
      <w:pPr>
        <w:ind w:left="705" w:hanging="705"/>
        <w:rPr>
          <w:sz w:val="20"/>
          <w:szCs w:val="20"/>
          <w:lang w:val="en-GB"/>
        </w:rPr>
      </w:pPr>
      <w:r w:rsidRPr="008F0C13">
        <w:rPr>
          <w:sz w:val="20"/>
          <w:szCs w:val="20"/>
          <w:lang w:val="en-GB"/>
        </w:rPr>
        <w:t>14:00</w:t>
      </w:r>
      <w:r w:rsidRPr="008F0C13">
        <w:rPr>
          <w:sz w:val="20"/>
          <w:szCs w:val="20"/>
          <w:lang w:val="en-GB"/>
        </w:rPr>
        <w:tab/>
        <w:t xml:space="preserve">Welcome </w:t>
      </w:r>
      <w:r w:rsidR="00D31F13">
        <w:rPr>
          <w:sz w:val="20"/>
          <w:szCs w:val="20"/>
          <w:lang w:val="en-GB"/>
        </w:rPr>
        <w:t>to the University of Groningen by Professor Jan Berend Wezeman, Dean of the Faculty of Law</w:t>
      </w:r>
    </w:p>
    <w:p w:rsidR="007D289D" w:rsidRPr="008F0C13" w:rsidRDefault="00D31F13" w:rsidP="00D31F13">
      <w:pPr>
        <w:rPr>
          <w:sz w:val="20"/>
          <w:szCs w:val="20"/>
          <w:lang w:val="en-GB"/>
        </w:rPr>
      </w:pPr>
      <w:r>
        <w:rPr>
          <w:sz w:val="20"/>
          <w:szCs w:val="20"/>
          <w:lang w:val="en-GB"/>
        </w:rPr>
        <w:t>14.10</w:t>
      </w:r>
      <w:r>
        <w:rPr>
          <w:sz w:val="20"/>
          <w:szCs w:val="20"/>
          <w:lang w:val="en-GB"/>
        </w:rPr>
        <w:tab/>
        <w:t xml:space="preserve"> </w:t>
      </w:r>
      <w:r w:rsidRPr="008F0C13">
        <w:rPr>
          <w:sz w:val="20"/>
          <w:szCs w:val="20"/>
          <w:lang w:val="en-GB"/>
        </w:rPr>
        <w:t>Aim of the Conference</w:t>
      </w:r>
      <w:r>
        <w:rPr>
          <w:sz w:val="20"/>
          <w:szCs w:val="20"/>
          <w:lang w:val="en-GB"/>
        </w:rPr>
        <w:t xml:space="preserve"> &amp; </w:t>
      </w:r>
      <w:r w:rsidRPr="008F0C13">
        <w:rPr>
          <w:sz w:val="20"/>
          <w:szCs w:val="20"/>
          <w:lang w:val="en-GB"/>
        </w:rPr>
        <w:t>Approach</w:t>
      </w:r>
    </w:p>
    <w:p w:rsidR="007D289D" w:rsidRPr="008F0C13" w:rsidRDefault="007D289D" w:rsidP="007D289D">
      <w:pPr>
        <w:ind w:firstLine="708"/>
        <w:rPr>
          <w:i/>
          <w:sz w:val="20"/>
          <w:szCs w:val="20"/>
          <w:lang w:val="en-GB"/>
        </w:rPr>
      </w:pPr>
      <w:r w:rsidRPr="008F0C13">
        <w:rPr>
          <w:i/>
          <w:sz w:val="20"/>
          <w:szCs w:val="20"/>
          <w:lang w:val="en-GB"/>
        </w:rPr>
        <w:t xml:space="preserve">Prof. </w:t>
      </w:r>
      <w:r>
        <w:rPr>
          <w:i/>
          <w:sz w:val="20"/>
          <w:szCs w:val="20"/>
          <w:lang w:val="en-GB"/>
        </w:rPr>
        <w:t>Charles Gielen</w:t>
      </w:r>
      <w:r w:rsidRPr="008F0C13">
        <w:rPr>
          <w:i/>
          <w:sz w:val="20"/>
          <w:szCs w:val="20"/>
          <w:lang w:val="en-GB"/>
        </w:rPr>
        <w:t xml:space="preserve">, </w:t>
      </w:r>
      <w:r w:rsidR="00D31D4F">
        <w:rPr>
          <w:i/>
          <w:sz w:val="20"/>
          <w:szCs w:val="20"/>
          <w:lang w:val="en-GB"/>
        </w:rPr>
        <w:t xml:space="preserve">Chair </w:t>
      </w:r>
      <w:r w:rsidRPr="008F0C13">
        <w:rPr>
          <w:i/>
          <w:sz w:val="20"/>
          <w:szCs w:val="20"/>
          <w:lang w:val="en-GB"/>
        </w:rPr>
        <w:t>Trademark Law Institute (</w:t>
      </w:r>
      <w:r>
        <w:rPr>
          <w:i/>
          <w:sz w:val="20"/>
          <w:szCs w:val="20"/>
          <w:lang w:val="en-GB"/>
        </w:rPr>
        <w:t>Groningen</w:t>
      </w:r>
      <w:r w:rsidRPr="008F0C13">
        <w:rPr>
          <w:i/>
          <w:sz w:val="20"/>
          <w:szCs w:val="20"/>
          <w:lang w:val="en-GB"/>
        </w:rPr>
        <w:t>)</w:t>
      </w:r>
    </w:p>
    <w:p w:rsidR="007D289D" w:rsidRDefault="007D289D" w:rsidP="00CD0CF2">
      <w:pPr>
        <w:pStyle w:val="Heading4"/>
        <w:ind w:left="705" w:hanging="705"/>
        <w:rPr>
          <w:lang w:val="en-GB"/>
        </w:rPr>
      </w:pPr>
      <w:r>
        <w:rPr>
          <w:lang w:val="en-GB"/>
        </w:rPr>
        <w:t>14:15</w:t>
      </w:r>
      <w:r>
        <w:rPr>
          <w:lang w:val="en-GB"/>
        </w:rPr>
        <w:tab/>
        <w:t xml:space="preserve">Part 1: </w:t>
      </w:r>
      <w:r>
        <w:rPr>
          <w:lang w:val="en-GB"/>
        </w:rPr>
        <w:tab/>
      </w:r>
      <w:r w:rsidR="00D12647">
        <w:rPr>
          <w:lang w:val="en-GB"/>
        </w:rPr>
        <w:t>T</w:t>
      </w:r>
      <w:r>
        <w:rPr>
          <w:lang w:val="en-GB"/>
        </w:rPr>
        <w:t>rad</w:t>
      </w:r>
      <w:r w:rsidR="000D657D">
        <w:rPr>
          <w:lang w:val="en-GB"/>
        </w:rPr>
        <w:t>e</w:t>
      </w:r>
      <w:r>
        <w:rPr>
          <w:lang w:val="en-GB"/>
        </w:rPr>
        <w:t>marks</w:t>
      </w:r>
      <w:r w:rsidR="00D12647">
        <w:rPr>
          <w:lang w:val="en-GB"/>
        </w:rPr>
        <w:t>: positive right to use v. right to exclude others or communication means</w:t>
      </w:r>
      <w:r w:rsidR="00780F4E">
        <w:rPr>
          <w:lang w:val="en-GB"/>
        </w:rPr>
        <w:t xml:space="preserve"> and economic rationale of trade marks</w:t>
      </w:r>
    </w:p>
    <w:p w:rsidR="007D289D" w:rsidRPr="008F0C13" w:rsidRDefault="00B321C8" w:rsidP="007D289D">
      <w:pPr>
        <w:ind w:firstLine="708"/>
        <w:rPr>
          <w:i/>
          <w:sz w:val="20"/>
          <w:szCs w:val="20"/>
          <w:lang w:val="en-GB"/>
        </w:rPr>
      </w:pPr>
      <w:r>
        <w:rPr>
          <w:sz w:val="20"/>
          <w:szCs w:val="20"/>
          <w:lang w:val="en-GB"/>
        </w:rPr>
        <w:t xml:space="preserve">Chair: </w:t>
      </w:r>
      <w:r>
        <w:rPr>
          <w:i/>
          <w:sz w:val="20"/>
          <w:szCs w:val="20"/>
          <w:lang w:val="en-GB"/>
        </w:rPr>
        <w:t>Prof. Dirk Visser, Leiden University</w:t>
      </w:r>
      <w:r w:rsidR="007D289D" w:rsidRPr="008F0C13">
        <w:rPr>
          <w:sz w:val="20"/>
          <w:szCs w:val="20"/>
          <w:lang w:val="en-GB"/>
        </w:rPr>
        <w:tab/>
      </w:r>
    </w:p>
    <w:p w:rsidR="007D289D" w:rsidRPr="00565A63" w:rsidRDefault="007D289D" w:rsidP="007D289D">
      <w:pPr>
        <w:ind w:left="1416" w:hanging="711"/>
        <w:rPr>
          <w:sz w:val="20"/>
          <w:szCs w:val="20"/>
          <w:lang w:val="en-GB"/>
        </w:rPr>
      </w:pPr>
      <w:r w:rsidRPr="008F0C13">
        <w:rPr>
          <w:sz w:val="20"/>
          <w:szCs w:val="20"/>
          <w:lang w:val="en-GB"/>
        </w:rPr>
        <w:t xml:space="preserve">14:15 </w:t>
      </w:r>
      <w:r w:rsidRPr="008F0C13">
        <w:rPr>
          <w:sz w:val="20"/>
          <w:szCs w:val="20"/>
          <w:lang w:val="en-GB"/>
        </w:rPr>
        <w:tab/>
        <w:t xml:space="preserve">Introduction I. </w:t>
      </w:r>
      <w:r w:rsidR="000D657D">
        <w:rPr>
          <w:sz w:val="20"/>
          <w:szCs w:val="20"/>
          <w:lang w:val="en-GB"/>
        </w:rPr>
        <w:t>Trademarks</w:t>
      </w:r>
      <w:r>
        <w:rPr>
          <w:sz w:val="20"/>
          <w:szCs w:val="20"/>
          <w:lang w:val="en-GB"/>
        </w:rPr>
        <w:t xml:space="preserve">: </w:t>
      </w:r>
      <w:r w:rsidR="00A02ED5">
        <w:rPr>
          <w:sz w:val="20"/>
          <w:szCs w:val="20"/>
          <w:lang w:val="en-GB"/>
        </w:rPr>
        <w:t>is there a</w:t>
      </w:r>
      <w:r w:rsidR="00D12647">
        <w:rPr>
          <w:sz w:val="20"/>
          <w:szCs w:val="20"/>
          <w:lang w:val="en-GB"/>
        </w:rPr>
        <w:t xml:space="preserve"> positive</w:t>
      </w:r>
      <w:r w:rsidR="000D657D">
        <w:rPr>
          <w:sz w:val="20"/>
          <w:szCs w:val="20"/>
          <w:lang w:val="en-GB"/>
        </w:rPr>
        <w:t xml:space="preserve"> right to use? </w:t>
      </w:r>
    </w:p>
    <w:p w:rsidR="007D289D" w:rsidRPr="00F62C4F" w:rsidRDefault="007D289D" w:rsidP="007D289D">
      <w:pPr>
        <w:rPr>
          <w:sz w:val="20"/>
          <w:szCs w:val="20"/>
          <w:lang w:val="de-DE"/>
        </w:rPr>
      </w:pPr>
      <w:r w:rsidRPr="00565A63">
        <w:rPr>
          <w:sz w:val="20"/>
          <w:szCs w:val="20"/>
          <w:lang w:val="en-GB"/>
        </w:rPr>
        <w:tab/>
      </w:r>
      <w:r w:rsidRPr="00565A63">
        <w:rPr>
          <w:sz w:val="20"/>
          <w:szCs w:val="20"/>
          <w:lang w:val="en-GB"/>
        </w:rPr>
        <w:tab/>
      </w:r>
      <w:r w:rsidRPr="00F62C4F">
        <w:rPr>
          <w:i/>
          <w:iCs/>
          <w:sz w:val="20"/>
          <w:szCs w:val="20"/>
          <w:lang w:val="de-DE"/>
        </w:rPr>
        <w:t>Prof.</w:t>
      </w:r>
      <w:r w:rsidR="003E4400" w:rsidRPr="00F62C4F">
        <w:rPr>
          <w:i/>
          <w:iCs/>
          <w:sz w:val="20"/>
          <w:szCs w:val="20"/>
          <w:lang w:val="de-DE"/>
        </w:rPr>
        <w:t xml:space="preserve"> Dr.</w:t>
      </w:r>
      <w:r w:rsidRPr="00F62C4F">
        <w:rPr>
          <w:i/>
          <w:iCs/>
          <w:sz w:val="20"/>
          <w:szCs w:val="20"/>
          <w:lang w:val="de-DE"/>
        </w:rPr>
        <w:t xml:space="preserve"> </w:t>
      </w:r>
      <w:r w:rsidR="000D657D" w:rsidRPr="00F62C4F">
        <w:rPr>
          <w:i/>
          <w:iCs/>
          <w:sz w:val="20"/>
          <w:szCs w:val="20"/>
          <w:lang w:val="de-DE"/>
        </w:rPr>
        <w:t>Annette Kur</w:t>
      </w:r>
      <w:r w:rsidRPr="00F62C4F">
        <w:rPr>
          <w:i/>
          <w:iCs/>
          <w:sz w:val="20"/>
          <w:szCs w:val="20"/>
          <w:lang w:val="de-DE"/>
        </w:rPr>
        <w:t>,</w:t>
      </w:r>
      <w:r w:rsidRPr="00F62C4F">
        <w:rPr>
          <w:lang w:val="de-DE"/>
        </w:rPr>
        <w:t xml:space="preserve"> </w:t>
      </w:r>
      <w:r w:rsidR="000D657D" w:rsidRPr="00F62C4F">
        <w:rPr>
          <w:i/>
          <w:iCs/>
          <w:sz w:val="20"/>
          <w:szCs w:val="20"/>
          <w:lang w:val="de-DE"/>
        </w:rPr>
        <w:t>Max Planck Institute M</w:t>
      </w:r>
      <w:r w:rsidR="0092631B" w:rsidRPr="00F62C4F">
        <w:rPr>
          <w:i/>
          <w:iCs/>
          <w:sz w:val="20"/>
          <w:szCs w:val="20"/>
          <w:lang w:val="de-DE"/>
        </w:rPr>
        <w:t>ünchen</w:t>
      </w:r>
      <w:r w:rsidRPr="00F62C4F">
        <w:rPr>
          <w:i/>
          <w:iCs/>
          <w:sz w:val="20"/>
          <w:szCs w:val="20"/>
          <w:lang w:val="de-DE"/>
        </w:rPr>
        <w:t xml:space="preserve"> </w:t>
      </w:r>
    </w:p>
    <w:p w:rsidR="007D289D" w:rsidRPr="008F0C13" w:rsidRDefault="007D289D" w:rsidP="007D289D">
      <w:pPr>
        <w:ind w:left="1413" w:hanging="705"/>
        <w:rPr>
          <w:sz w:val="20"/>
          <w:szCs w:val="20"/>
          <w:lang w:val="en-GB"/>
        </w:rPr>
      </w:pPr>
      <w:r w:rsidRPr="008F0C13">
        <w:rPr>
          <w:sz w:val="20"/>
          <w:szCs w:val="20"/>
          <w:lang w:val="en-GB"/>
        </w:rPr>
        <w:t xml:space="preserve">14:40 </w:t>
      </w:r>
      <w:r w:rsidRPr="008F0C13">
        <w:rPr>
          <w:sz w:val="20"/>
          <w:szCs w:val="20"/>
          <w:lang w:val="en-GB"/>
        </w:rPr>
        <w:tab/>
        <w:t xml:space="preserve">Introduction II. </w:t>
      </w:r>
      <w:r w:rsidR="0092631B">
        <w:rPr>
          <w:sz w:val="20"/>
          <w:szCs w:val="20"/>
          <w:lang w:val="en-GB"/>
        </w:rPr>
        <w:t>Trad</w:t>
      </w:r>
      <w:r w:rsidR="0050597B">
        <w:rPr>
          <w:sz w:val="20"/>
          <w:szCs w:val="20"/>
          <w:lang w:val="en-GB"/>
        </w:rPr>
        <w:t>emarks: right to exclude others; communication means</w:t>
      </w:r>
    </w:p>
    <w:p w:rsidR="007D289D" w:rsidRDefault="007D289D" w:rsidP="007D289D">
      <w:pPr>
        <w:ind w:firstLine="708"/>
        <w:rPr>
          <w:i/>
          <w:iCs/>
          <w:sz w:val="20"/>
          <w:szCs w:val="20"/>
          <w:lang w:val="en-GB"/>
        </w:rPr>
      </w:pPr>
      <w:r w:rsidRPr="008F0C13">
        <w:rPr>
          <w:sz w:val="20"/>
          <w:szCs w:val="20"/>
          <w:lang w:val="en-GB"/>
        </w:rPr>
        <w:tab/>
      </w:r>
      <w:r w:rsidRPr="008F0C13">
        <w:rPr>
          <w:i/>
          <w:iCs/>
          <w:sz w:val="20"/>
          <w:szCs w:val="20"/>
          <w:lang w:val="en-GB"/>
        </w:rPr>
        <w:t xml:space="preserve">Prof. </w:t>
      </w:r>
      <w:r w:rsidR="00A337A8">
        <w:rPr>
          <w:i/>
          <w:iCs/>
          <w:sz w:val="20"/>
          <w:szCs w:val="20"/>
          <w:lang w:val="en-GB"/>
        </w:rPr>
        <w:t xml:space="preserve">Dr. </w:t>
      </w:r>
      <w:r w:rsidR="00223266">
        <w:rPr>
          <w:i/>
          <w:iCs/>
          <w:sz w:val="20"/>
          <w:szCs w:val="20"/>
          <w:lang w:val="en-GB"/>
        </w:rPr>
        <w:t xml:space="preserve">Spiros </w:t>
      </w:r>
      <w:r w:rsidR="0092631B">
        <w:rPr>
          <w:i/>
          <w:iCs/>
          <w:sz w:val="20"/>
          <w:szCs w:val="20"/>
          <w:lang w:val="en-GB"/>
        </w:rPr>
        <w:t>Maniatis</w:t>
      </w:r>
      <w:r w:rsidR="00A337A8">
        <w:rPr>
          <w:i/>
          <w:iCs/>
          <w:sz w:val="20"/>
          <w:szCs w:val="20"/>
          <w:lang w:val="en-GB"/>
        </w:rPr>
        <w:t>, Queen Mary University of London</w:t>
      </w:r>
      <w:r w:rsidR="0092631B">
        <w:rPr>
          <w:i/>
          <w:iCs/>
          <w:sz w:val="20"/>
          <w:szCs w:val="20"/>
          <w:lang w:val="en-GB"/>
        </w:rPr>
        <w:t xml:space="preserve"> </w:t>
      </w:r>
    </w:p>
    <w:p w:rsidR="00780F4E" w:rsidRDefault="00780F4E" w:rsidP="007D289D">
      <w:pPr>
        <w:ind w:firstLine="708"/>
        <w:rPr>
          <w:iCs/>
          <w:sz w:val="20"/>
          <w:szCs w:val="20"/>
          <w:lang w:val="en-GB"/>
        </w:rPr>
      </w:pPr>
      <w:r>
        <w:rPr>
          <w:iCs/>
          <w:sz w:val="20"/>
          <w:szCs w:val="20"/>
          <w:lang w:val="en-GB"/>
        </w:rPr>
        <w:t>15.00</w:t>
      </w:r>
      <w:r>
        <w:rPr>
          <w:iCs/>
          <w:sz w:val="20"/>
          <w:szCs w:val="20"/>
          <w:lang w:val="en-GB"/>
        </w:rPr>
        <w:tab/>
        <w:t>Introduction III. The economic rationale of trademarks and restrictions on use</w:t>
      </w:r>
    </w:p>
    <w:p w:rsidR="00780F4E" w:rsidRPr="00780F4E" w:rsidRDefault="00780F4E" w:rsidP="007D289D">
      <w:pPr>
        <w:ind w:firstLine="708"/>
        <w:rPr>
          <w:sz w:val="20"/>
          <w:szCs w:val="20"/>
          <w:lang w:val="en-GB"/>
        </w:rPr>
      </w:pPr>
      <w:r>
        <w:rPr>
          <w:iCs/>
          <w:sz w:val="20"/>
          <w:szCs w:val="20"/>
          <w:lang w:val="en-GB"/>
        </w:rPr>
        <w:tab/>
      </w:r>
      <w:r w:rsidRPr="008E50CA">
        <w:rPr>
          <w:i/>
          <w:iCs/>
          <w:sz w:val="20"/>
          <w:szCs w:val="20"/>
          <w:lang w:val="en-US"/>
        </w:rPr>
        <w:t>Dr Max Oker-Blom, Hanken School of Economics, Helsinki</w:t>
      </w:r>
    </w:p>
    <w:p w:rsidR="007D289D" w:rsidRPr="008F0C13" w:rsidRDefault="007D289D" w:rsidP="007D289D">
      <w:pPr>
        <w:ind w:firstLine="708"/>
        <w:rPr>
          <w:sz w:val="20"/>
          <w:szCs w:val="20"/>
          <w:lang w:val="en-GB"/>
        </w:rPr>
      </w:pPr>
      <w:r w:rsidRPr="008F0C13">
        <w:rPr>
          <w:sz w:val="20"/>
          <w:szCs w:val="20"/>
          <w:lang w:val="en-GB"/>
        </w:rPr>
        <w:t>15:</w:t>
      </w:r>
      <w:r w:rsidR="00780F4E">
        <w:rPr>
          <w:sz w:val="20"/>
          <w:szCs w:val="20"/>
          <w:lang w:val="en-GB"/>
        </w:rPr>
        <w:t>20</w:t>
      </w:r>
      <w:r w:rsidR="00780F4E" w:rsidRPr="008F0C13">
        <w:rPr>
          <w:sz w:val="20"/>
          <w:szCs w:val="20"/>
          <w:lang w:val="en-GB"/>
        </w:rPr>
        <w:t xml:space="preserve"> </w:t>
      </w:r>
      <w:r w:rsidRPr="008F0C13">
        <w:rPr>
          <w:sz w:val="20"/>
          <w:szCs w:val="20"/>
          <w:lang w:val="en-GB"/>
        </w:rPr>
        <w:tab/>
        <w:t>Discussion</w:t>
      </w:r>
    </w:p>
    <w:p w:rsidR="007D289D" w:rsidRDefault="007D289D" w:rsidP="007D289D">
      <w:pPr>
        <w:rPr>
          <w:sz w:val="20"/>
          <w:szCs w:val="20"/>
          <w:lang w:val="en-GB"/>
        </w:rPr>
      </w:pPr>
      <w:r w:rsidRPr="008F0C13">
        <w:rPr>
          <w:sz w:val="20"/>
          <w:szCs w:val="20"/>
          <w:lang w:val="en-GB"/>
        </w:rPr>
        <w:t>16:</w:t>
      </w:r>
      <w:r w:rsidR="00780F4E">
        <w:rPr>
          <w:sz w:val="20"/>
          <w:szCs w:val="20"/>
          <w:lang w:val="en-GB"/>
        </w:rPr>
        <w:t>20</w:t>
      </w:r>
      <w:r w:rsidRPr="008F0C13">
        <w:rPr>
          <w:sz w:val="20"/>
          <w:szCs w:val="20"/>
          <w:lang w:val="en-GB"/>
        </w:rPr>
        <w:tab/>
        <w:t>Coffee Break</w:t>
      </w:r>
    </w:p>
    <w:p w:rsidR="007D289D" w:rsidRPr="008F0C13" w:rsidRDefault="007D289D" w:rsidP="007D289D">
      <w:pPr>
        <w:rPr>
          <w:sz w:val="20"/>
          <w:szCs w:val="20"/>
          <w:lang w:val="en-GB"/>
        </w:rPr>
      </w:pPr>
    </w:p>
    <w:p w:rsidR="007D289D" w:rsidRPr="00531210" w:rsidRDefault="007D289D" w:rsidP="00D100F7">
      <w:pPr>
        <w:pStyle w:val="Heading4"/>
        <w:ind w:left="705" w:hanging="705"/>
        <w:rPr>
          <w:lang w:val="en-US"/>
        </w:rPr>
      </w:pPr>
      <w:r>
        <w:rPr>
          <w:lang w:val="en-US"/>
        </w:rPr>
        <w:t>16:15</w:t>
      </w:r>
      <w:r>
        <w:rPr>
          <w:lang w:val="en-US"/>
        </w:rPr>
        <w:tab/>
        <w:t xml:space="preserve">Part 2: </w:t>
      </w:r>
      <w:r>
        <w:rPr>
          <w:lang w:val="en-US"/>
        </w:rPr>
        <w:tab/>
      </w:r>
      <w:r w:rsidR="0050597B">
        <w:rPr>
          <w:lang w:val="en-US"/>
        </w:rPr>
        <w:t>Restrictions on use</w:t>
      </w:r>
      <w:r w:rsidR="00D100F7">
        <w:rPr>
          <w:lang w:val="en-US"/>
        </w:rPr>
        <w:t xml:space="preserve">; </w:t>
      </w:r>
      <w:r w:rsidR="00D12647">
        <w:rPr>
          <w:lang w:val="en-US"/>
        </w:rPr>
        <w:t xml:space="preserve"> Influence of Economic theory</w:t>
      </w:r>
      <w:r w:rsidR="0050597B">
        <w:rPr>
          <w:lang w:val="en-US"/>
        </w:rPr>
        <w:t xml:space="preserve"> and </w:t>
      </w:r>
      <w:r w:rsidR="00D12647">
        <w:rPr>
          <w:lang w:val="en-US"/>
        </w:rPr>
        <w:t xml:space="preserve">compliance with </w:t>
      </w:r>
      <w:r w:rsidR="0050597B">
        <w:rPr>
          <w:lang w:val="en-US"/>
        </w:rPr>
        <w:t>international legal instruments</w:t>
      </w:r>
    </w:p>
    <w:p w:rsidR="007D289D" w:rsidRPr="00F62C4F" w:rsidRDefault="007D289D" w:rsidP="007D289D">
      <w:pPr>
        <w:rPr>
          <w:i/>
          <w:sz w:val="20"/>
          <w:szCs w:val="20"/>
        </w:rPr>
      </w:pPr>
      <w:r w:rsidRPr="00F62C4F">
        <w:rPr>
          <w:sz w:val="20"/>
          <w:szCs w:val="20"/>
        </w:rPr>
        <w:t>Chair:</w:t>
      </w:r>
      <w:r w:rsidRPr="00F62C4F">
        <w:rPr>
          <w:sz w:val="20"/>
          <w:szCs w:val="20"/>
        </w:rPr>
        <w:tab/>
      </w:r>
      <w:r w:rsidRPr="00F62C4F">
        <w:rPr>
          <w:i/>
          <w:sz w:val="20"/>
          <w:szCs w:val="20"/>
        </w:rPr>
        <w:t>Prof.</w:t>
      </w:r>
      <w:r w:rsidR="00A337A8" w:rsidRPr="00F62C4F">
        <w:rPr>
          <w:i/>
          <w:sz w:val="20"/>
          <w:szCs w:val="20"/>
        </w:rPr>
        <w:t xml:space="preserve"> Antoon Quaedvlieg (Nijmegen)</w:t>
      </w:r>
    </w:p>
    <w:p w:rsidR="007D289D" w:rsidRPr="008F0C13" w:rsidRDefault="007D289D" w:rsidP="00780F4E">
      <w:pPr>
        <w:rPr>
          <w:sz w:val="20"/>
          <w:szCs w:val="20"/>
          <w:lang w:val="en-GB"/>
        </w:rPr>
      </w:pPr>
      <w:r w:rsidRPr="00F62C4F">
        <w:rPr>
          <w:sz w:val="20"/>
          <w:szCs w:val="20"/>
        </w:rPr>
        <w:tab/>
      </w:r>
      <w:r w:rsidRPr="008F0C13">
        <w:rPr>
          <w:sz w:val="20"/>
          <w:szCs w:val="20"/>
          <w:lang w:val="en-GB"/>
        </w:rPr>
        <w:t>16:</w:t>
      </w:r>
      <w:r w:rsidR="00780F4E">
        <w:rPr>
          <w:sz w:val="20"/>
          <w:szCs w:val="20"/>
          <w:lang w:val="en-GB"/>
        </w:rPr>
        <w:t>35</w:t>
      </w:r>
      <w:r w:rsidR="00D12647">
        <w:rPr>
          <w:sz w:val="20"/>
          <w:szCs w:val="20"/>
          <w:lang w:val="en-GB"/>
        </w:rPr>
        <w:tab/>
      </w:r>
      <w:r w:rsidRPr="008F0C13">
        <w:rPr>
          <w:sz w:val="20"/>
          <w:szCs w:val="20"/>
          <w:lang w:val="en-GB"/>
        </w:rPr>
        <w:t xml:space="preserve">Introduction I. </w:t>
      </w:r>
      <w:r w:rsidR="0050597B">
        <w:rPr>
          <w:sz w:val="20"/>
          <w:szCs w:val="20"/>
          <w:lang w:val="en-GB"/>
        </w:rPr>
        <w:t>Paris Convention and TRIPS</w:t>
      </w:r>
    </w:p>
    <w:p w:rsidR="007D289D" w:rsidRPr="00223266" w:rsidRDefault="00CD0CF2" w:rsidP="00223266">
      <w:pPr>
        <w:ind w:left="708" w:firstLine="708"/>
        <w:rPr>
          <w:i/>
          <w:iCs/>
          <w:sz w:val="20"/>
          <w:szCs w:val="20"/>
          <w:lang w:val="en-US"/>
        </w:rPr>
      </w:pPr>
      <w:r w:rsidRPr="00223266">
        <w:rPr>
          <w:i/>
          <w:iCs/>
          <w:sz w:val="20"/>
          <w:szCs w:val="20"/>
          <w:lang w:val="en-US"/>
        </w:rPr>
        <w:t xml:space="preserve">Wolf Meier-Ewert, </w:t>
      </w:r>
      <w:r w:rsidR="00A337A8" w:rsidRPr="00223266">
        <w:rPr>
          <w:i/>
          <w:iCs/>
          <w:sz w:val="20"/>
          <w:szCs w:val="20"/>
          <w:lang w:val="en-US"/>
        </w:rPr>
        <w:t>Counselor</w:t>
      </w:r>
      <w:r w:rsidRPr="00223266">
        <w:rPr>
          <w:i/>
          <w:iCs/>
          <w:sz w:val="20"/>
          <w:szCs w:val="20"/>
          <w:lang w:val="en-US"/>
        </w:rPr>
        <w:t xml:space="preserve">, WTO </w:t>
      </w:r>
    </w:p>
    <w:p w:rsidR="007D289D" w:rsidRPr="008F0C13" w:rsidRDefault="007D289D" w:rsidP="007D289D">
      <w:pPr>
        <w:ind w:left="1416" w:hanging="711"/>
        <w:rPr>
          <w:sz w:val="20"/>
          <w:szCs w:val="20"/>
          <w:lang w:val="en-GB"/>
        </w:rPr>
      </w:pPr>
      <w:r w:rsidRPr="008F0C13">
        <w:rPr>
          <w:sz w:val="20"/>
          <w:szCs w:val="20"/>
          <w:lang w:val="en-GB"/>
        </w:rPr>
        <w:t>16:</w:t>
      </w:r>
      <w:r w:rsidR="00780F4E">
        <w:rPr>
          <w:sz w:val="20"/>
          <w:szCs w:val="20"/>
          <w:lang w:val="en-GB"/>
        </w:rPr>
        <w:t>55</w:t>
      </w:r>
      <w:r w:rsidR="00780F4E" w:rsidRPr="008F0C13">
        <w:rPr>
          <w:sz w:val="20"/>
          <w:szCs w:val="20"/>
          <w:lang w:val="en-GB"/>
        </w:rPr>
        <w:t xml:space="preserve"> </w:t>
      </w:r>
      <w:r w:rsidRPr="008F0C13">
        <w:rPr>
          <w:sz w:val="20"/>
          <w:szCs w:val="20"/>
          <w:lang w:val="en-GB"/>
        </w:rPr>
        <w:tab/>
        <w:t xml:space="preserve">Introduction II. </w:t>
      </w:r>
      <w:r w:rsidR="00421F20">
        <w:rPr>
          <w:sz w:val="20"/>
          <w:szCs w:val="20"/>
          <w:lang w:val="en-GB"/>
        </w:rPr>
        <w:t xml:space="preserve">Restriction of use and function </w:t>
      </w:r>
      <w:r w:rsidR="00780F4E">
        <w:rPr>
          <w:sz w:val="20"/>
          <w:szCs w:val="20"/>
          <w:lang w:val="en-GB"/>
        </w:rPr>
        <w:t xml:space="preserve">theory </w:t>
      </w:r>
      <w:r w:rsidR="00421F20">
        <w:rPr>
          <w:sz w:val="20"/>
          <w:szCs w:val="20"/>
          <w:lang w:val="en-GB"/>
        </w:rPr>
        <w:t>of trade marks in the light of CTM Regulation/Trade Marks Directive</w:t>
      </w:r>
      <w:r w:rsidRPr="008F0C13">
        <w:rPr>
          <w:sz w:val="20"/>
          <w:szCs w:val="20"/>
          <w:lang w:val="en-GB"/>
        </w:rPr>
        <w:t xml:space="preserve"> </w:t>
      </w:r>
      <w:r w:rsidR="00F62C4F">
        <w:rPr>
          <w:sz w:val="20"/>
          <w:szCs w:val="20"/>
          <w:lang w:val="en-GB"/>
        </w:rPr>
        <w:t>and the case law of the Court of Justice</w:t>
      </w:r>
    </w:p>
    <w:p w:rsidR="007D289D" w:rsidRPr="00D31F13" w:rsidRDefault="007D289D" w:rsidP="007D289D">
      <w:pPr>
        <w:rPr>
          <w:i/>
          <w:sz w:val="20"/>
          <w:szCs w:val="20"/>
          <w:lang w:val="en-US"/>
        </w:rPr>
      </w:pPr>
      <w:r w:rsidRPr="008F0C13">
        <w:rPr>
          <w:sz w:val="20"/>
          <w:szCs w:val="20"/>
          <w:lang w:val="en-GB"/>
        </w:rPr>
        <w:tab/>
      </w:r>
      <w:r w:rsidR="00223266">
        <w:rPr>
          <w:sz w:val="20"/>
          <w:szCs w:val="20"/>
          <w:lang w:val="en-GB"/>
        </w:rPr>
        <w:tab/>
      </w:r>
      <w:r w:rsidR="00800465" w:rsidRPr="00D31F13">
        <w:rPr>
          <w:i/>
          <w:sz w:val="20"/>
          <w:szCs w:val="20"/>
          <w:lang w:val="en-US"/>
        </w:rPr>
        <w:t xml:space="preserve">Dr. Jennifer Davies, </w:t>
      </w:r>
      <w:r w:rsidR="00D31F13" w:rsidRPr="00D31F13">
        <w:rPr>
          <w:i/>
          <w:sz w:val="20"/>
          <w:szCs w:val="20"/>
          <w:lang w:val="en-US"/>
        </w:rPr>
        <w:t xml:space="preserve">Faculty of Law, University of </w:t>
      </w:r>
      <w:r w:rsidR="00800465" w:rsidRPr="00D31F13">
        <w:rPr>
          <w:i/>
          <w:sz w:val="20"/>
          <w:szCs w:val="20"/>
          <w:lang w:val="en-US"/>
        </w:rPr>
        <w:t>Cambridge</w:t>
      </w:r>
    </w:p>
    <w:p w:rsidR="007D289D" w:rsidRPr="00565A63" w:rsidRDefault="007D289D" w:rsidP="007D289D">
      <w:pPr>
        <w:rPr>
          <w:sz w:val="20"/>
          <w:szCs w:val="20"/>
          <w:lang w:val="en-GB"/>
        </w:rPr>
      </w:pPr>
      <w:r w:rsidRPr="00565A63">
        <w:rPr>
          <w:sz w:val="20"/>
          <w:szCs w:val="20"/>
          <w:lang w:val="en-GB"/>
        </w:rPr>
        <w:lastRenderedPageBreak/>
        <w:t>17:</w:t>
      </w:r>
      <w:r w:rsidR="00780F4E">
        <w:rPr>
          <w:sz w:val="20"/>
          <w:szCs w:val="20"/>
          <w:lang w:val="en-GB"/>
        </w:rPr>
        <w:t>20</w:t>
      </w:r>
      <w:r w:rsidR="00780F4E" w:rsidRPr="00565A63">
        <w:rPr>
          <w:sz w:val="20"/>
          <w:szCs w:val="20"/>
          <w:lang w:val="en-GB"/>
        </w:rPr>
        <w:t xml:space="preserve"> </w:t>
      </w:r>
      <w:r w:rsidRPr="00565A63">
        <w:rPr>
          <w:sz w:val="20"/>
          <w:szCs w:val="20"/>
          <w:lang w:val="en-GB"/>
        </w:rPr>
        <w:tab/>
        <w:t>Discussion</w:t>
      </w:r>
    </w:p>
    <w:p w:rsidR="007D289D" w:rsidRPr="00565A63" w:rsidRDefault="007D289D" w:rsidP="007D289D">
      <w:pPr>
        <w:rPr>
          <w:sz w:val="20"/>
          <w:szCs w:val="20"/>
          <w:lang w:val="en-GB"/>
        </w:rPr>
      </w:pPr>
      <w:r w:rsidRPr="00565A63">
        <w:rPr>
          <w:sz w:val="20"/>
          <w:szCs w:val="20"/>
          <w:lang w:val="en-GB"/>
        </w:rPr>
        <w:t>18:00</w:t>
      </w:r>
      <w:r w:rsidRPr="00565A63">
        <w:rPr>
          <w:sz w:val="20"/>
          <w:szCs w:val="20"/>
          <w:lang w:val="en-GB"/>
        </w:rPr>
        <w:tab/>
        <w:t>Summary and conclusion</w:t>
      </w:r>
    </w:p>
    <w:p w:rsidR="007D289D" w:rsidRPr="00D31F13" w:rsidRDefault="00421F20" w:rsidP="007D289D">
      <w:pPr>
        <w:rPr>
          <w:lang w:val="en-US"/>
        </w:rPr>
      </w:pPr>
      <w:r w:rsidRPr="00D31F13">
        <w:rPr>
          <w:lang w:val="en-US"/>
        </w:rPr>
        <w:t>19</w:t>
      </w:r>
      <w:r w:rsidR="007D289D" w:rsidRPr="00D31F13">
        <w:rPr>
          <w:lang w:val="en-US"/>
        </w:rPr>
        <w:t>:</w:t>
      </w:r>
      <w:r w:rsidRPr="00D31F13">
        <w:rPr>
          <w:lang w:val="en-US"/>
        </w:rPr>
        <w:t>30</w:t>
      </w:r>
      <w:r w:rsidR="007D289D" w:rsidRPr="00D31F13">
        <w:rPr>
          <w:lang w:val="en-US"/>
        </w:rPr>
        <w:tab/>
      </w:r>
      <w:r w:rsidR="007D289D" w:rsidRPr="00D31F13">
        <w:rPr>
          <w:sz w:val="20"/>
          <w:szCs w:val="20"/>
          <w:lang w:val="en-GB"/>
        </w:rPr>
        <w:t>Conference Dinner</w:t>
      </w:r>
      <w:r w:rsidR="00800465" w:rsidRPr="00D31F13">
        <w:rPr>
          <w:sz w:val="20"/>
          <w:szCs w:val="20"/>
          <w:lang w:val="en-GB"/>
        </w:rPr>
        <w:t xml:space="preserve"> at Restaurant De Pauw, Gelkingestraat 52, Groningen</w:t>
      </w:r>
    </w:p>
    <w:p w:rsidR="007D289D" w:rsidRPr="00531210" w:rsidRDefault="007D289D" w:rsidP="007D289D">
      <w:pPr>
        <w:pStyle w:val="Heading1"/>
        <w:rPr>
          <w:lang w:val="en-US"/>
        </w:rPr>
      </w:pPr>
      <w:r w:rsidRPr="00531210">
        <w:rPr>
          <w:lang w:val="en-US"/>
        </w:rPr>
        <w:t xml:space="preserve">Saturday, </w:t>
      </w:r>
      <w:r w:rsidR="003E4400">
        <w:rPr>
          <w:lang w:val="en-US"/>
        </w:rPr>
        <w:t xml:space="preserve"> 1 June</w:t>
      </w:r>
      <w:r>
        <w:rPr>
          <w:lang w:val="en-US"/>
        </w:rPr>
        <w:t xml:space="preserve"> 201</w:t>
      </w:r>
      <w:r w:rsidR="00780F4E">
        <w:rPr>
          <w:lang w:val="en-US"/>
        </w:rPr>
        <w:t>3</w:t>
      </w:r>
    </w:p>
    <w:p w:rsidR="007D289D" w:rsidRDefault="007D289D" w:rsidP="00780F4E">
      <w:pPr>
        <w:pStyle w:val="Heading4"/>
        <w:ind w:left="705" w:hanging="705"/>
        <w:rPr>
          <w:lang w:val="en-GB"/>
        </w:rPr>
      </w:pPr>
      <w:bookmarkStart w:id="0" w:name="_GoBack"/>
      <w:r>
        <w:rPr>
          <w:lang w:val="en-GB"/>
        </w:rPr>
        <w:t>9:00</w:t>
      </w:r>
      <w:r>
        <w:rPr>
          <w:lang w:val="en-GB"/>
        </w:rPr>
        <w:tab/>
        <w:t xml:space="preserve">Part 3: </w:t>
      </w:r>
      <w:r>
        <w:rPr>
          <w:lang w:val="en-GB"/>
        </w:rPr>
        <w:tab/>
      </w:r>
      <w:r w:rsidR="00780F4E">
        <w:rPr>
          <w:lang w:val="en-GB"/>
        </w:rPr>
        <w:t xml:space="preserve">Restrictions of use and fundamental rights, such as freedom of </w:t>
      </w:r>
      <w:bookmarkEnd w:id="0"/>
      <w:r w:rsidR="00780F4E">
        <w:rPr>
          <w:lang w:val="en-GB"/>
        </w:rPr>
        <w:t>enterprise and freedom to guarantee property</w:t>
      </w:r>
    </w:p>
    <w:p w:rsidR="007D289D" w:rsidRPr="00565A63" w:rsidRDefault="007D289D" w:rsidP="007D289D">
      <w:pPr>
        <w:rPr>
          <w:i/>
          <w:sz w:val="20"/>
          <w:szCs w:val="20"/>
          <w:lang w:val="en-GB"/>
        </w:rPr>
      </w:pPr>
      <w:r w:rsidRPr="00565A63">
        <w:rPr>
          <w:sz w:val="20"/>
          <w:szCs w:val="20"/>
          <w:lang w:val="en-GB"/>
        </w:rPr>
        <w:t>Chair:</w:t>
      </w:r>
      <w:r w:rsidRPr="00565A63">
        <w:rPr>
          <w:sz w:val="20"/>
          <w:szCs w:val="20"/>
          <w:lang w:val="en-GB"/>
        </w:rPr>
        <w:tab/>
      </w:r>
      <w:r w:rsidRPr="00565A63">
        <w:rPr>
          <w:i/>
          <w:sz w:val="20"/>
          <w:szCs w:val="20"/>
          <w:lang w:val="en-GB"/>
        </w:rPr>
        <w:t>Prof.</w:t>
      </w:r>
      <w:r w:rsidR="00A337A8">
        <w:rPr>
          <w:i/>
          <w:sz w:val="20"/>
          <w:szCs w:val="20"/>
          <w:lang w:val="en-GB"/>
        </w:rPr>
        <w:t xml:space="preserve">  Martin Senftleben, Free University Amsterdam</w:t>
      </w:r>
    </w:p>
    <w:p w:rsidR="007D289D" w:rsidRPr="008F0C13" w:rsidRDefault="007D289D" w:rsidP="00421F20">
      <w:pPr>
        <w:ind w:left="1413" w:hanging="705"/>
        <w:rPr>
          <w:sz w:val="20"/>
          <w:szCs w:val="20"/>
          <w:lang w:val="en-GB"/>
        </w:rPr>
      </w:pPr>
      <w:r w:rsidRPr="008F0C13">
        <w:rPr>
          <w:sz w:val="20"/>
          <w:szCs w:val="20"/>
          <w:lang w:val="en-GB"/>
        </w:rPr>
        <w:t xml:space="preserve">9:00 </w:t>
      </w:r>
      <w:r w:rsidRPr="008F0C13">
        <w:rPr>
          <w:sz w:val="20"/>
          <w:szCs w:val="20"/>
          <w:lang w:val="en-GB"/>
        </w:rPr>
        <w:tab/>
        <w:t>Intro</w:t>
      </w:r>
      <w:r>
        <w:rPr>
          <w:sz w:val="20"/>
          <w:szCs w:val="20"/>
          <w:lang w:val="en-GB"/>
        </w:rPr>
        <w:t>duction</w:t>
      </w:r>
      <w:r w:rsidRPr="008F0C13">
        <w:rPr>
          <w:sz w:val="20"/>
          <w:szCs w:val="20"/>
          <w:lang w:val="en-GB"/>
        </w:rPr>
        <w:t xml:space="preserve"> I. </w:t>
      </w:r>
      <w:r w:rsidR="00421F20">
        <w:rPr>
          <w:sz w:val="20"/>
          <w:szCs w:val="20"/>
          <w:lang w:val="en-GB"/>
        </w:rPr>
        <w:t xml:space="preserve">What can we learn from the ECHR and </w:t>
      </w:r>
      <w:r w:rsidR="003214B7">
        <w:rPr>
          <w:sz w:val="20"/>
          <w:szCs w:val="20"/>
          <w:lang w:val="en-GB"/>
        </w:rPr>
        <w:t xml:space="preserve">ECJ </w:t>
      </w:r>
      <w:r w:rsidR="00421F20">
        <w:rPr>
          <w:sz w:val="20"/>
          <w:szCs w:val="20"/>
          <w:lang w:val="en-GB"/>
        </w:rPr>
        <w:t>case law on trademarks and goodwill as protectable property</w:t>
      </w:r>
      <w:r w:rsidR="003214B7">
        <w:rPr>
          <w:sz w:val="20"/>
          <w:szCs w:val="20"/>
          <w:lang w:val="en-GB"/>
        </w:rPr>
        <w:t xml:space="preserve"> </w:t>
      </w:r>
    </w:p>
    <w:p w:rsidR="007D289D" w:rsidRPr="008F0C13" w:rsidRDefault="007D289D" w:rsidP="007D289D">
      <w:pPr>
        <w:rPr>
          <w:sz w:val="20"/>
          <w:szCs w:val="20"/>
          <w:lang w:val="en-GB"/>
        </w:rPr>
      </w:pPr>
      <w:r w:rsidRPr="008F0C13">
        <w:rPr>
          <w:sz w:val="20"/>
          <w:szCs w:val="20"/>
          <w:lang w:val="en-GB"/>
        </w:rPr>
        <w:tab/>
      </w:r>
      <w:r w:rsidRPr="008F0C13">
        <w:rPr>
          <w:sz w:val="20"/>
          <w:szCs w:val="20"/>
          <w:lang w:val="en-GB"/>
        </w:rPr>
        <w:tab/>
      </w:r>
      <w:r w:rsidR="00780F4E">
        <w:rPr>
          <w:i/>
          <w:sz w:val="20"/>
          <w:szCs w:val="20"/>
          <w:lang w:val="en-GB"/>
        </w:rPr>
        <w:t xml:space="preserve">Prof. </w:t>
      </w:r>
      <w:r w:rsidR="00A337A8">
        <w:rPr>
          <w:i/>
          <w:sz w:val="20"/>
          <w:szCs w:val="20"/>
          <w:lang w:val="en-GB"/>
        </w:rPr>
        <w:t xml:space="preserve">Dr. </w:t>
      </w:r>
      <w:r w:rsidR="00780F4E">
        <w:rPr>
          <w:i/>
          <w:sz w:val="20"/>
          <w:szCs w:val="20"/>
          <w:lang w:val="en-GB"/>
        </w:rPr>
        <w:t>Jonathan Griffith</w:t>
      </w:r>
      <w:r w:rsidR="00A337A8">
        <w:rPr>
          <w:i/>
          <w:sz w:val="20"/>
          <w:szCs w:val="20"/>
          <w:lang w:val="en-GB"/>
        </w:rPr>
        <w:t>s, Queen Mary University of London</w:t>
      </w:r>
      <w:r w:rsidR="00780F4E">
        <w:rPr>
          <w:i/>
          <w:sz w:val="20"/>
          <w:szCs w:val="20"/>
          <w:lang w:val="en-GB"/>
        </w:rPr>
        <w:t xml:space="preserve"> </w:t>
      </w:r>
    </w:p>
    <w:p w:rsidR="007D289D" w:rsidRPr="008F0C13" w:rsidRDefault="007D289D" w:rsidP="007D289D">
      <w:pPr>
        <w:rPr>
          <w:sz w:val="20"/>
          <w:szCs w:val="20"/>
          <w:lang w:val="en-GB"/>
        </w:rPr>
      </w:pPr>
      <w:r>
        <w:rPr>
          <w:sz w:val="20"/>
          <w:szCs w:val="20"/>
          <w:lang w:val="en-GB"/>
        </w:rPr>
        <w:tab/>
        <w:t>9:25</w:t>
      </w:r>
      <w:r w:rsidRPr="008F0C13">
        <w:rPr>
          <w:sz w:val="20"/>
          <w:szCs w:val="20"/>
          <w:lang w:val="en-GB"/>
        </w:rPr>
        <w:tab/>
        <w:t>Intro</w:t>
      </w:r>
      <w:r>
        <w:rPr>
          <w:sz w:val="20"/>
          <w:szCs w:val="20"/>
          <w:lang w:val="en-GB"/>
        </w:rPr>
        <w:t>duction</w:t>
      </w:r>
      <w:r w:rsidRPr="008F0C13">
        <w:rPr>
          <w:sz w:val="20"/>
          <w:szCs w:val="20"/>
          <w:lang w:val="en-GB"/>
        </w:rPr>
        <w:t xml:space="preserve"> II. </w:t>
      </w:r>
      <w:r w:rsidR="00421F20">
        <w:rPr>
          <w:sz w:val="20"/>
          <w:szCs w:val="20"/>
          <w:lang w:val="en-GB"/>
        </w:rPr>
        <w:t>Are restrictions of use infringements to fundamental principles?</w:t>
      </w:r>
    </w:p>
    <w:p w:rsidR="007D289D" w:rsidRPr="00E54EE3" w:rsidRDefault="007D289D" w:rsidP="007D289D">
      <w:pPr>
        <w:ind w:left="1410"/>
        <w:rPr>
          <w:i/>
          <w:sz w:val="20"/>
          <w:szCs w:val="20"/>
          <w:lang w:val="en-GB"/>
        </w:rPr>
      </w:pPr>
      <w:r w:rsidRPr="008F0C13">
        <w:rPr>
          <w:sz w:val="20"/>
          <w:szCs w:val="20"/>
          <w:lang w:val="en-GB"/>
        </w:rPr>
        <w:tab/>
      </w:r>
      <w:r w:rsidR="00E54EE3">
        <w:rPr>
          <w:i/>
          <w:sz w:val="20"/>
          <w:szCs w:val="20"/>
          <w:lang w:val="en-GB"/>
        </w:rPr>
        <w:t>Dr. Wolfgang Sakulin</w:t>
      </w:r>
      <w:r w:rsidR="003E4400">
        <w:rPr>
          <w:i/>
          <w:sz w:val="20"/>
          <w:szCs w:val="20"/>
          <w:lang w:val="en-GB"/>
        </w:rPr>
        <w:t xml:space="preserve">, Attorney-at-law, Rotterdam, </w:t>
      </w:r>
      <w:r w:rsidR="00A337A8">
        <w:rPr>
          <w:i/>
          <w:sz w:val="20"/>
          <w:szCs w:val="20"/>
          <w:lang w:val="en-GB"/>
        </w:rPr>
        <w:t>(</w:t>
      </w:r>
      <w:r w:rsidR="003E4400">
        <w:rPr>
          <w:i/>
          <w:sz w:val="20"/>
          <w:szCs w:val="20"/>
          <w:lang w:val="en-GB"/>
        </w:rPr>
        <w:t>PhD on Trade mark protection and freedom of expression</w:t>
      </w:r>
      <w:r w:rsidR="00A337A8">
        <w:rPr>
          <w:i/>
          <w:sz w:val="20"/>
          <w:szCs w:val="20"/>
          <w:lang w:val="en-GB"/>
        </w:rPr>
        <w:t>)</w:t>
      </w:r>
    </w:p>
    <w:p w:rsidR="007D289D" w:rsidRPr="003214B7" w:rsidRDefault="007D289D" w:rsidP="007D289D">
      <w:pPr>
        <w:rPr>
          <w:sz w:val="20"/>
          <w:szCs w:val="20"/>
          <w:lang w:val="en-US"/>
        </w:rPr>
      </w:pPr>
      <w:r w:rsidRPr="008F0C13">
        <w:rPr>
          <w:sz w:val="20"/>
          <w:szCs w:val="20"/>
          <w:lang w:val="en-GB"/>
        </w:rPr>
        <w:tab/>
      </w:r>
      <w:r w:rsidRPr="003214B7">
        <w:rPr>
          <w:sz w:val="20"/>
          <w:szCs w:val="20"/>
          <w:lang w:val="en-US"/>
        </w:rPr>
        <w:t xml:space="preserve">9:45 </w:t>
      </w:r>
      <w:r w:rsidRPr="003214B7">
        <w:rPr>
          <w:sz w:val="20"/>
          <w:szCs w:val="20"/>
          <w:lang w:val="en-US"/>
        </w:rPr>
        <w:tab/>
        <w:t>Discussion</w:t>
      </w:r>
    </w:p>
    <w:p w:rsidR="007D289D" w:rsidRPr="008F0C13" w:rsidRDefault="007D289D" w:rsidP="007D289D">
      <w:pPr>
        <w:rPr>
          <w:sz w:val="20"/>
          <w:szCs w:val="20"/>
          <w:lang w:val="en-GB"/>
        </w:rPr>
      </w:pPr>
      <w:r w:rsidRPr="008F0C13">
        <w:rPr>
          <w:sz w:val="20"/>
          <w:szCs w:val="20"/>
          <w:lang w:val="en-GB"/>
        </w:rPr>
        <w:t>10:30</w:t>
      </w:r>
      <w:r w:rsidRPr="008F0C13">
        <w:rPr>
          <w:sz w:val="20"/>
          <w:szCs w:val="20"/>
          <w:lang w:val="en-GB"/>
        </w:rPr>
        <w:tab/>
        <w:t>Coffee Break</w:t>
      </w:r>
    </w:p>
    <w:p w:rsidR="007D289D" w:rsidRDefault="007D289D" w:rsidP="007D289D">
      <w:pPr>
        <w:pStyle w:val="Heading4"/>
        <w:rPr>
          <w:lang w:val="en-GB"/>
        </w:rPr>
      </w:pPr>
      <w:r>
        <w:rPr>
          <w:lang w:val="en-GB"/>
        </w:rPr>
        <w:t xml:space="preserve">10:45 </w:t>
      </w:r>
      <w:r>
        <w:rPr>
          <w:lang w:val="en-GB"/>
        </w:rPr>
        <w:tab/>
        <w:t xml:space="preserve">Part 4:  </w:t>
      </w:r>
      <w:r>
        <w:rPr>
          <w:lang w:val="en-GB"/>
        </w:rPr>
        <w:tab/>
      </w:r>
      <w:r w:rsidR="00421F20">
        <w:rPr>
          <w:lang w:val="en-GB"/>
        </w:rPr>
        <w:t>Other issues of restrictions of use</w:t>
      </w:r>
      <w:r>
        <w:rPr>
          <w:lang w:val="en-GB"/>
        </w:rPr>
        <w:t xml:space="preserve"> </w:t>
      </w:r>
    </w:p>
    <w:p w:rsidR="007D289D" w:rsidRPr="00565A63" w:rsidRDefault="007D289D" w:rsidP="007D289D">
      <w:pPr>
        <w:rPr>
          <w:i/>
          <w:sz w:val="20"/>
          <w:szCs w:val="20"/>
          <w:lang w:val="en-GB"/>
        </w:rPr>
      </w:pPr>
      <w:r w:rsidRPr="00565A63">
        <w:rPr>
          <w:sz w:val="20"/>
          <w:szCs w:val="20"/>
          <w:lang w:val="en-GB"/>
        </w:rPr>
        <w:t>Chair:</w:t>
      </w:r>
      <w:r w:rsidRPr="00565A63">
        <w:rPr>
          <w:sz w:val="20"/>
          <w:szCs w:val="20"/>
          <w:lang w:val="en-GB"/>
        </w:rPr>
        <w:tab/>
      </w:r>
      <w:r w:rsidRPr="00565A63">
        <w:rPr>
          <w:i/>
          <w:sz w:val="20"/>
          <w:szCs w:val="20"/>
          <w:lang w:val="en-GB"/>
        </w:rPr>
        <w:t xml:space="preserve">Prof. </w:t>
      </w:r>
      <w:r w:rsidR="003E4400">
        <w:rPr>
          <w:i/>
          <w:sz w:val="20"/>
          <w:szCs w:val="20"/>
          <w:lang w:val="en-GB"/>
        </w:rPr>
        <w:t>Tobias Cohen Jehoram, University of Rotterdam</w:t>
      </w:r>
    </w:p>
    <w:p w:rsidR="00780F4E" w:rsidRDefault="007D289D" w:rsidP="00780F4E">
      <w:pPr>
        <w:ind w:left="1416" w:hanging="711"/>
        <w:rPr>
          <w:sz w:val="20"/>
          <w:szCs w:val="20"/>
          <w:lang w:val="en-GB"/>
        </w:rPr>
      </w:pPr>
      <w:r w:rsidRPr="00565A63">
        <w:rPr>
          <w:sz w:val="20"/>
          <w:szCs w:val="20"/>
          <w:lang w:val="en-GB"/>
        </w:rPr>
        <w:t>10:45</w:t>
      </w:r>
      <w:r w:rsidRPr="00565A63">
        <w:rPr>
          <w:sz w:val="20"/>
          <w:szCs w:val="20"/>
          <w:lang w:val="en-GB"/>
        </w:rPr>
        <w:tab/>
        <w:t xml:space="preserve">Introduction I. </w:t>
      </w:r>
      <w:r w:rsidR="00421F20">
        <w:rPr>
          <w:sz w:val="20"/>
          <w:szCs w:val="20"/>
          <w:lang w:val="en-GB"/>
        </w:rPr>
        <w:t xml:space="preserve"> </w:t>
      </w:r>
      <w:r w:rsidR="00780F4E">
        <w:rPr>
          <w:sz w:val="20"/>
          <w:szCs w:val="20"/>
          <w:lang w:val="en-GB"/>
        </w:rPr>
        <w:t>View from Asian perspective on the topic of restriction of use.</w:t>
      </w:r>
    </w:p>
    <w:p w:rsidR="007D289D" w:rsidRPr="008E50CA" w:rsidRDefault="00780F4E" w:rsidP="00780F4E">
      <w:pPr>
        <w:ind w:left="1416" w:hanging="711"/>
        <w:rPr>
          <w:sz w:val="20"/>
          <w:szCs w:val="20"/>
          <w:lang w:val="en-US"/>
        </w:rPr>
      </w:pPr>
      <w:r>
        <w:rPr>
          <w:sz w:val="20"/>
          <w:szCs w:val="20"/>
          <w:lang w:val="en-GB"/>
        </w:rPr>
        <w:tab/>
      </w:r>
      <w:r>
        <w:rPr>
          <w:i/>
          <w:sz w:val="20"/>
          <w:szCs w:val="20"/>
          <w:lang w:val="en-GB"/>
        </w:rPr>
        <w:t>Prof Wushuang HUANG, East China University of Political Science and Law, Shanghai</w:t>
      </w:r>
      <w:r w:rsidR="007D289D" w:rsidRPr="00565A63">
        <w:rPr>
          <w:sz w:val="20"/>
          <w:szCs w:val="20"/>
          <w:lang w:val="en-GB"/>
        </w:rPr>
        <w:tab/>
      </w:r>
    </w:p>
    <w:p w:rsidR="00A02ED5" w:rsidRDefault="007D289D" w:rsidP="00780F4E">
      <w:pPr>
        <w:ind w:left="1416" w:hanging="711"/>
        <w:rPr>
          <w:sz w:val="20"/>
          <w:szCs w:val="20"/>
          <w:lang w:val="en-GB"/>
        </w:rPr>
      </w:pPr>
      <w:r w:rsidRPr="00565A63">
        <w:rPr>
          <w:sz w:val="20"/>
          <w:szCs w:val="20"/>
          <w:lang w:val="en-GB"/>
        </w:rPr>
        <w:t xml:space="preserve">11:05 </w:t>
      </w:r>
      <w:r w:rsidRPr="00565A63">
        <w:rPr>
          <w:sz w:val="20"/>
          <w:szCs w:val="20"/>
          <w:lang w:val="en-GB"/>
        </w:rPr>
        <w:tab/>
        <w:t xml:space="preserve">Introduction II. </w:t>
      </w:r>
      <w:r w:rsidR="00780F4E">
        <w:rPr>
          <w:sz w:val="20"/>
          <w:szCs w:val="20"/>
          <w:lang w:val="en-GB"/>
        </w:rPr>
        <w:t>Public Order and restrictions in acquiring or using trademark</w:t>
      </w:r>
      <w:r w:rsidR="00A02ED5">
        <w:rPr>
          <w:sz w:val="20"/>
          <w:szCs w:val="20"/>
          <w:lang w:val="en-GB"/>
        </w:rPr>
        <w:t>s</w:t>
      </w:r>
      <w:r w:rsidR="00780F4E">
        <w:rPr>
          <w:sz w:val="20"/>
          <w:szCs w:val="20"/>
          <w:lang w:val="en-GB"/>
        </w:rPr>
        <w:t xml:space="preserve"> </w:t>
      </w:r>
    </w:p>
    <w:p w:rsidR="007D289D" w:rsidRPr="00F62C4F" w:rsidRDefault="00A02ED5" w:rsidP="00780F4E">
      <w:pPr>
        <w:ind w:left="1416" w:hanging="711"/>
        <w:rPr>
          <w:i/>
          <w:sz w:val="20"/>
          <w:szCs w:val="20"/>
          <w:lang w:val="en-US"/>
        </w:rPr>
      </w:pPr>
      <w:r>
        <w:rPr>
          <w:sz w:val="20"/>
          <w:szCs w:val="20"/>
          <w:lang w:val="en-GB"/>
        </w:rPr>
        <w:tab/>
      </w:r>
      <w:r w:rsidRPr="00F62C4F">
        <w:rPr>
          <w:i/>
          <w:sz w:val="20"/>
          <w:szCs w:val="20"/>
          <w:lang w:val="en-US"/>
        </w:rPr>
        <w:t>Dr. Caspar van Woensel,</w:t>
      </w:r>
      <w:r w:rsidR="003E4400" w:rsidRPr="00F62C4F">
        <w:rPr>
          <w:i/>
          <w:sz w:val="20"/>
          <w:szCs w:val="20"/>
          <w:lang w:val="en-US"/>
        </w:rPr>
        <w:t xml:space="preserve"> Assistant Professor Private Law, University of </w:t>
      </w:r>
      <w:r w:rsidRPr="00F62C4F">
        <w:rPr>
          <w:i/>
          <w:sz w:val="20"/>
          <w:szCs w:val="20"/>
          <w:lang w:val="en-US"/>
        </w:rPr>
        <w:t xml:space="preserve"> Leiden</w:t>
      </w:r>
    </w:p>
    <w:p w:rsidR="007D289D" w:rsidRPr="00565A63" w:rsidRDefault="007D289D" w:rsidP="007D289D">
      <w:pPr>
        <w:rPr>
          <w:sz w:val="20"/>
          <w:szCs w:val="20"/>
          <w:lang w:val="en-GB"/>
        </w:rPr>
      </w:pPr>
      <w:r w:rsidRPr="00F62C4F">
        <w:rPr>
          <w:sz w:val="20"/>
          <w:szCs w:val="20"/>
          <w:lang w:val="en-US"/>
        </w:rPr>
        <w:tab/>
      </w:r>
      <w:r w:rsidRPr="00565A63">
        <w:rPr>
          <w:sz w:val="20"/>
          <w:szCs w:val="20"/>
          <w:lang w:val="en-GB"/>
        </w:rPr>
        <w:t xml:space="preserve">11:25 </w:t>
      </w:r>
      <w:r w:rsidRPr="00565A63">
        <w:rPr>
          <w:sz w:val="20"/>
          <w:szCs w:val="20"/>
          <w:lang w:val="en-GB"/>
        </w:rPr>
        <w:tab/>
        <w:t>Discussion</w:t>
      </w:r>
    </w:p>
    <w:p w:rsidR="007D289D" w:rsidRDefault="007D289D" w:rsidP="007D289D">
      <w:pPr>
        <w:pStyle w:val="Heading4"/>
        <w:rPr>
          <w:lang w:val="en-GB"/>
        </w:rPr>
      </w:pPr>
      <w:r>
        <w:rPr>
          <w:lang w:val="en-GB"/>
        </w:rPr>
        <w:t>12:15</w:t>
      </w:r>
      <w:r>
        <w:rPr>
          <w:lang w:val="en-GB"/>
        </w:rPr>
        <w:tab/>
        <w:t>Conclusion and summary of main results</w:t>
      </w:r>
    </w:p>
    <w:p w:rsidR="007D289D" w:rsidRPr="00565A63" w:rsidRDefault="007D289D" w:rsidP="007D289D">
      <w:pPr>
        <w:rPr>
          <w:sz w:val="16"/>
          <w:szCs w:val="16"/>
          <w:lang w:val="en-GB"/>
        </w:rPr>
      </w:pPr>
    </w:p>
    <w:p w:rsidR="007D289D" w:rsidRPr="00565A63" w:rsidRDefault="007D289D" w:rsidP="007D289D">
      <w:pPr>
        <w:rPr>
          <w:sz w:val="20"/>
          <w:szCs w:val="20"/>
          <w:lang w:val="en-GB"/>
        </w:rPr>
      </w:pPr>
      <w:r w:rsidRPr="00565A63">
        <w:rPr>
          <w:sz w:val="20"/>
          <w:szCs w:val="20"/>
          <w:lang w:val="en-GB"/>
        </w:rPr>
        <w:t>12:45</w:t>
      </w:r>
      <w:r w:rsidRPr="00565A63">
        <w:rPr>
          <w:sz w:val="20"/>
          <w:szCs w:val="20"/>
          <w:lang w:val="en-GB"/>
        </w:rPr>
        <w:tab/>
        <w:t>Closing and Information on Future Projects</w:t>
      </w:r>
    </w:p>
    <w:p w:rsidR="007D289D" w:rsidRPr="00565A63" w:rsidRDefault="007D289D" w:rsidP="007D289D">
      <w:pPr>
        <w:rPr>
          <w:sz w:val="20"/>
          <w:szCs w:val="20"/>
          <w:lang w:val="en-GB"/>
        </w:rPr>
      </w:pPr>
      <w:r w:rsidRPr="00565A63">
        <w:rPr>
          <w:i/>
          <w:sz w:val="20"/>
          <w:szCs w:val="20"/>
          <w:lang w:val="en-GB"/>
        </w:rPr>
        <w:t xml:space="preserve">Prof. Charles Gielen, </w:t>
      </w:r>
      <w:r w:rsidR="00D31D4F">
        <w:rPr>
          <w:i/>
          <w:sz w:val="20"/>
          <w:szCs w:val="20"/>
          <w:lang w:val="en-GB"/>
        </w:rPr>
        <w:t xml:space="preserve">Chair </w:t>
      </w:r>
      <w:r w:rsidRPr="00565A63">
        <w:rPr>
          <w:i/>
          <w:sz w:val="20"/>
          <w:szCs w:val="20"/>
          <w:lang w:val="en-GB"/>
        </w:rPr>
        <w:t>Trademark Law Institute (Groningen)</w:t>
      </w:r>
    </w:p>
    <w:p w:rsidR="007D289D" w:rsidRPr="00565A63" w:rsidRDefault="007D289D" w:rsidP="007D289D">
      <w:pPr>
        <w:rPr>
          <w:lang w:val="en-GB"/>
        </w:rPr>
      </w:pPr>
      <w:r w:rsidRPr="00565A63">
        <w:rPr>
          <w:lang w:val="en-GB"/>
        </w:rPr>
        <w:t xml:space="preserve">13:00 </w:t>
      </w:r>
      <w:r w:rsidRPr="00565A63">
        <w:rPr>
          <w:lang w:val="en-GB"/>
        </w:rPr>
        <w:tab/>
        <w:t>Conference Closing Lunch</w:t>
      </w:r>
    </w:p>
    <w:p w:rsidR="00916742" w:rsidRPr="007D289D" w:rsidRDefault="00916742">
      <w:pPr>
        <w:rPr>
          <w:lang w:val="en-GB"/>
        </w:rPr>
      </w:pPr>
    </w:p>
    <w:sectPr w:rsidR="00916742" w:rsidRPr="007D289D" w:rsidSect="00774D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79" w:rsidRDefault="00DD4579">
      <w:pPr>
        <w:spacing w:after="0" w:line="240" w:lineRule="auto"/>
      </w:pPr>
      <w:r>
        <w:separator/>
      </w:r>
    </w:p>
  </w:endnote>
  <w:endnote w:type="continuationSeparator" w:id="0">
    <w:p w:rsidR="00DD4579" w:rsidRDefault="00D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F" w:rsidRDefault="00F6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7D" w:rsidRDefault="00B63D60">
    <w:pPr>
      <w:pStyle w:val="Footer"/>
      <w:jc w:val="right"/>
    </w:pPr>
    <w:r>
      <w:fldChar w:fldCharType="begin"/>
    </w:r>
    <w:r>
      <w:instrText xml:space="preserve"> PAGE   \* MERGEFORMAT </w:instrText>
    </w:r>
    <w:r>
      <w:fldChar w:fldCharType="separate"/>
    </w:r>
    <w:r w:rsidR="00D31F13">
      <w:rPr>
        <w:noProof/>
      </w:rPr>
      <w:t>5</w:t>
    </w:r>
    <w:r>
      <w:rPr>
        <w:noProof/>
      </w:rPr>
      <w:fldChar w:fldCharType="end"/>
    </w:r>
  </w:p>
  <w:p w:rsidR="00375B7D" w:rsidRDefault="00D31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F" w:rsidRDefault="00F6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79" w:rsidRDefault="00DD4579">
      <w:pPr>
        <w:spacing w:after="0" w:line="240" w:lineRule="auto"/>
      </w:pPr>
      <w:r>
        <w:separator/>
      </w:r>
    </w:p>
  </w:footnote>
  <w:footnote w:type="continuationSeparator" w:id="0">
    <w:p w:rsidR="00DD4579" w:rsidRDefault="00DD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F" w:rsidRDefault="00F6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F" w:rsidRDefault="00F62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F" w:rsidRDefault="00F62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9D"/>
    <w:rsid w:val="00025EE7"/>
    <w:rsid w:val="00030016"/>
    <w:rsid w:val="00041141"/>
    <w:rsid w:val="00042C38"/>
    <w:rsid w:val="000554B0"/>
    <w:rsid w:val="000651CA"/>
    <w:rsid w:val="00065A51"/>
    <w:rsid w:val="00065E12"/>
    <w:rsid w:val="00081D5E"/>
    <w:rsid w:val="000827E8"/>
    <w:rsid w:val="00082EFB"/>
    <w:rsid w:val="00086844"/>
    <w:rsid w:val="00091CAC"/>
    <w:rsid w:val="00092D16"/>
    <w:rsid w:val="000B1738"/>
    <w:rsid w:val="000C31DA"/>
    <w:rsid w:val="000C4E30"/>
    <w:rsid w:val="000C5027"/>
    <w:rsid w:val="000D657D"/>
    <w:rsid w:val="000D6D20"/>
    <w:rsid w:val="000E0961"/>
    <w:rsid w:val="000E1D59"/>
    <w:rsid w:val="000E2161"/>
    <w:rsid w:val="000E78EA"/>
    <w:rsid w:val="000F1CFC"/>
    <w:rsid w:val="00101211"/>
    <w:rsid w:val="00101264"/>
    <w:rsid w:val="001038AF"/>
    <w:rsid w:val="001137DA"/>
    <w:rsid w:val="001326A1"/>
    <w:rsid w:val="00136786"/>
    <w:rsid w:val="0013737C"/>
    <w:rsid w:val="00144A70"/>
    <w:rsid w:val="0015579A"/>
    <w:rsid w:val="00181802"/>
    <w:rsid w:val="001A08A1"/>
    <w:rsid w:val="001A63F4"/>
    <w:rsid w:val="001A7C54"/>
    <w:rsid w:val="001B57FE"/>
    <w:rsid w:val="001D66AA"/>
    <w:rsid w:val="001D7F55"/>
    <w:rsid w:val="001F027F"/>
    <w:rsid w:val="001F2E50"/>
    <w:rsid w:val="00200AF0"/>
    <w:rsid w:val="00223266"/>
    <w:rsid w:val="00237842"/>
    <w:rsid w:val="00240D5B"/>
    <w:rsid w:val="00244419"/>
    <w:rsid w:val="002459BF"/>
    <w:rsid w:val="0024758E"/>
    <w:rsid w:val="00252EC7"/>
    <w:rsid w:val="002644A2"/>
    <w:rsid w:val="00273FE7"/>
    <w:rsid w:val="0027706F"/>
    <w:rsid w:val="002B4BBD"/>
    <w:rsid w:val="002B5167"/>
    <w:rsid w:val="002C5A54"/>
    <w:rsid w:val="002D215F"/>
    <w:rsid w:val="002E2D91"/>
    <w:rsid w:val="002E570A"/>
    <w:rsid w:val="002F5602"/>
    <w:rsid w:val="00301C8E"/>
    <w:rsid w:val="00313A32"/>
    <w:rsid w:val="003160BD"/>
    <w:rsid w:val="003214B7"/>
    <w:rsid w:val="00335086"/>
    <w:rsid w:val="00354BC2"/>
    <w:rsid w:val="00371996"/>
    <w:rsid w:val="00372333"/>
    <w:rsid w:val="00383CB1"/>
    <w:rsid w:val="003878A1"/>
    <w:rsid w:val="00393AA1"/>
    <w:rsid w:val="003A1005"/>
    <w:rsid w:val="003B00F9"/>
    <w:rsid w:val="003B07B0"/>
    <w:rsid w:val="003C149A"/>
    <w:rsid w:val="003E4400"/>
    <w:rsid w:val="003F2423"/>
    <w:rsid w:val="003F4278"/>
    <w:rsid w:val="003F559C"/>
    <w:rsid w:val="003F61FF"/>
    <w:rsid w:val="00405094"/>
    <w:rsid w:val="00411067"/>
    <w:rsid w:val="00416617"/>
    <w:rsid w:val="004205C7"/>
    <w:rsid w:val="00421F20"/>
    <w:rsid w:val="00427C9A"/>
    <w:rsid w:val="00447ACD"/>
    <w:rsid w:val="00464161"/>
    <w:rsid w:val="00467FFB"/>
    <w:rsid w:val="004A6783"/>
    <w:rsid w:val="004A6D9A"/>
    <w:rsid w:val="004C1FD2"/>
    <w:rsid w:val="004C611C"/>
    <w:rsid w:val="004D2B3C"/>
    <w:rsid w:val="004D5E64"/>
    <w:rsid w:val="004D63F7"/>
    <w:rsid w:val="004E03CB"/>
    <w:rsid w:val="004E0B5F"/>
    <w:rsid w:val="004E674E"/>
    <w:rsid w:val="004F4B90"/>
    <w:rsid w:val="0050597B"/>
    <w:rsid w:val="00510302"/>
    <w:rsid w:val="00513E47"/>
    <w:rsid w:val="005318F4"/>
    <w:rsid w:val="00533326"/>
    <w:rsid w:val="00535B8A"/>
    <w:rsid w:val="005414A5"/>
    <w:rsid w:val="005511CA"/>
    <w:rsid w:val="0055280A"/>
    <w:rsid w:val="00563240"/>
    <w:rsid w:val="00564C99"/>
    <w:rsid w:val="00580147"/>
    <w:rsid w:val="005963A7"/>
    <w:rsid w:val="005A4ADB"/>
    <w:rsid w:val="005C2DC8"/>
    <w:rsid w:val="005C3271"/>
    <w:rsid w:val="005E578F"/>
    <w:rsid w:val="005E6B19"/>
    <w:rsid w:val="006008BF"/>
    <w:rsid w:val="00601315"/>
    <w:rsid w:val="00640CA8"/>
    <w:rsid w:val="006418BD"/>
    <w:rsid w:val="00646E6C"/>
    <w:rsid w:val="00651D29"/>
    <w:rsid w:val="00663AD9"/>
    <w:rsid w:val="00672EFC"/>
    <w:rsid w:val="00673C24"/>
    <w:rsid w:val="006747FC"/>
    <w:rsid w:val="00690E91"/>
    <w:rsid w:val="0069104A"/>
    <w:rsid w:val="006B0F5E"/>
    <w:rsid w:val="006F474A"/>
    <w:rsid w:val="006F7F6D"/>
    <w:rsid w:val="007002E2"/>
    <w:rsid w:val="00704F0A"/>
    <w:rsid w:val="007132B5"/>
    <w:rsid w:val="00716AE0"/>
    <w:rsid w:val="00724778"/>
    <w:rsid w:val="007252A6"/>
    <w:rsid w:val="00727EDF"/>
    <w:rsid w:val="007321BE"/>
    <w:rsid w:val="00745AB1"/>
    <w:rsid w:val="00754DBB"/>
    <w:rsid w:val="0075775F"/>
    <w:rsid w:val="0076448F"/>
    <w:rsid w:val="00780F4E"/>
    <w:rsid w:val="0078257E"/>
    <w:rsid w:val="00782982"/>
    <w:rsid w:val="007854B2"/>
    <w:rsid w:val="007A6C99"/>
    <w:rsid w:val="007B1BA8"/>
    <w:rsid w:val="007C1135"/>
    <w:rsid w:val="007C422E"/>
    <w:rsid w:val="007D289D"/>
    <w:rsid w:val="007D41FE"/>
    <w:rsid w:val="007D7FF0"/>
    <w:rsid w:val="007E45F1"/>
    <w:rsid w:val="007E4722"/>
    <w:rsid w:val="007E5707"/>
    <w:rsid w:val="00800465"/>
    <w:rsid w:val="00800ECD"/>
    <w:rsid w:val="00803D67"/>
    <w:rsid w:val="00810901"/>
    <w:rsid w:val="00811AE9"/>
    <w:rsid w:val="008357F3"/>
    <w:rsid w:val="008510CA"/>
    <w:rsid w:val="00855C3B"/>
    <w:rsid w:val="008570B0"/>
    <w:rsid w:val="00880F4A"/>
    <w:rsid w:val="00882521"/>
    <w:rsid w:val="0089727A"/>
    <w:rsid w:val="008A0F00"/>
    <w:rsid w:val="008B1927"/>
    <w:rsid w:val="008C1CDF"/>
    <w:rsid w:val="008D1E5F"/>
    <w:rsid w:val="008E350D"/>
    <w:rsid w:val="008E50CA"/>
    <w:rsid w:val="008F3866"/>
    <w:rsid w:val="008F4FCA"/>
    <w:rsid w:val="00916742"/>
    <w:rsid w:val="0092631B"/>
    <w:rsid w:val="00930361"/>
    <w:rsid w:val="00941E6D"/>
    <w:rsid w:val="009429D9"/>
    <w:rsid w:val="00973FF5"/>
    <w:rsid w:val="009748B1"/>
    <w:rsid w:val="009914A1"/>
    <w:rsid w:val="009A1EB0"/>
    <w:rsid w:val="009A24FC"/>
    <w:rsid w:val="009A5DD4"/>
    <w:rsid w:val="009C4880"/>
    <w:rsid w:val="009D3BF2"/>
    <w:rsid w:val="009E28BA"/>
    <w:rsid w:val="009E3FEE"/>
    <w:rsid w:val="00A02ED5"/>
    <w:rsid w:val="00A1283A"/>
    <w:rsid w:val="00A13584"/>
    <w:rsid w:val="00A21726"/>
    <w:rsid w:val="00A25A36"/>
    <w:rsid w:val="00A337A8"/>
    <w:rsid w:val="00A35FA1"/>
    <w:rsid w:val="00A40EDF"/>
    <w:rsid w:val="00A4391A"/>
    <w:rsid w:val="00A52921"/>
    <w:rsid w:val="00A52C7A"/>
    <w:rsid w:val="00A775E1"/>
    <w:rsid w:val="00A815F6"/>
    <w:rsid w:val="00A8768F"/>
    <w:rsid w:val="00A90673"/>
    <w:rsid w:val="00AA5478"/>
    <w:rsid w:val="00AA6764"/>
    <w:rsid w:val="00AE4597"/>
    <w:rsid w:val="00AE7860"/>
    <w:rsid w:val="00AF2B48"/>
    <w:rsid w:val="00AF65C7"/>
    <w:rsid w:val="00B22323"/>
    <w:rsid w:val="00B321C8"/>
    <w:rsid w:val="00B376DD"/>
    <w:rsid w:val="00B41DAB"/>
    <w:rsid w:val="00B477A7"/>
    <w:rsid w:val="00B505BE"/>
    <w:rsid w:val="00B548F6"/>
    <w:rsid w:val="00B63D60"/>
    <w:rsid w:val="00B71629"/>
    <w:rsid w:val="00B974B2"/>
    <w:rsid w:val="00BB345F"/>
    <w:rsid w:val="00BD2D50"/>
    <w:rsid w:val="00BE5FB1"/>
    <w:rsid w:val="00C36B83"/>
    <w:rsid w:val="00C66D20"/>
    <w:rsid w:val="00C70C5B"/>
    <w:rsid w:val="00C752A1"/>
    <w:rsid w:val="00C82A17"/>
    <w:rsid w:val="00CA7F98"/>
    <w:rsid w:val="00CB3B51"/>
    <w:rsid w:val="00CB3B64"/>
    <w:rsid w:val="00CD0CF2"/>
    <w:rsid w:val="00CD2351"/>
    <w:rsid w:val="00CF09FD"/>
    <w:rsid w:val="00D029B0"/>
    <w:rsid w:val="00D100F7"/>
    <w:rsid w:val="00D112F6"/>
    <w:rsid w:val="00D12647"/>
    <w:rsid w:val="00D154B6"/>
    <w:rsid w:val="00D15BC6"/>
    <w:rsid w:val="00D31D4F"/>
    <w:rsid w:val="00D31F13"/>
    <w:rsid w:val="00D41D14"/>
    <w:rsid w:val="00D4767E"/>
    <w:rsid w:val="00D61221"/>
    <w:rsid w:val="00D61B16"/>
    <w:rsid w:val="00D65B76"/>
    <w:rsid w:val="00D65C9A"/>
    <w:rsid w:val="00D86188"/>
    <w:rsid w:val="00D9419B"/>
    <w:rsid w:val="00D94969"/>
    <w:rsid w:val="00DB0E6D"/>
    <w:rsid w:val="00DB78BB"/>
    <w:rsid w:val="00DC3A9B"/>
    <w:rsid w:val="00DD4579"/>
    <w:rsid w:val="00DD7C3F"/>
    <w:rsid w:val="00DE74EC"/>
    <w:rsid w:val="00DF32DF"/>
    <w:rsid w:val="00DF363B"/>
    <w:rsid w:val="00E00216"/>
    <w:rsid w:val="00E02D3F"/>
    <w:rsid w:val="00E15E5B"/>
    <w:rsid w:val="00E252A4"/>
    <w:rsid w:val="00E25D9E"/>
    <w:rsid w:val="00E40666"/>
    <w:rsid w:val="00E45083"/>
    <w:rsid w:val="00E53ACD"/>
    <w:rsid w:val="00E54EE3"/>
    <w:rsid w:val="00E65499"/>
    <w:rsid w:val="00E7069C"/>
    <w:rsid w:val="00E70A43"/>
    <w:rsid w:val="00E7255C"/>
    <w:rsid w:val="00E76FC5"/>
    <w:rsid w:val="00E7716E"/>
    <w:rsid w:val="00E92B97"/>
    <w:rsid w:val="00E92C11"/>
    <w:rsid w:val="00E97510"/>
    <w:rsid w:val="00ED3ED6"/>
    <w:rsid w:val="00ED4000"/>
    <w:rsid w:val="00ED762B"/>
    <w:rsid w:val="00ED76AC"/>
    <w:rsid w:val="00EE4516"/>
    <w:rsid w:val="00EE63D3"/>
    <w:rsid w:val="00EF170F"/>
    <w:rsid w:val="00F0100D"/>
    <w:rsid w:val="00F02D53"/>
    <w:rsid w:val="00F10258"/>
    <w:rsid w:val="00F11793"/>
    <w:rsid w:val="00F20C28"/>
    <w:rsid w:val="00F227B5"/>
    <w:rsid w:val="00F256A9"/>
    <w:rsid w:val="00F46766"/>
    <w:rsid w:val="00F56824"/>
    <w:rsid w:val="00F62C4F"/>
    <w:rsid w:val="00F6785A"/>
    <w:rsid w:val="00F85EF7"/>
    <w:rsid w:val="00F918D7"/>
    <w:rsid w:val="00F9376C"/>
    <w:rsid w:val="00FA0773"/>
    <w:rsid w:val="00FC3A22"/>
    <w:rsid w:val="00FC798E"/>
    <w:rsid w:val="00FD2556"/>
    <w:rsid w:val="00FF3AEE"/>
    <w:rsid w:val="00FF4BE8"/>
    <w:rsid w:val="00FF70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7D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7D289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7D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7D289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ug.nl/about-us/how-to-find-us/route-broerstrt5"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1198</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NautaDutilh</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NautaDutilh</cp:lastModifiedBy>
  <cp:revision>3</cp:revision>
  <dcterms:created xsi:type="dcterms:W3CDTF">2013-04-23T13:33:00Z</dcterms:created>
  <dcterms:modified xsi:type="dcterms:W3CDTF">2013-04-25T12:49:00Z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oFAAXzy6TWd89pjnGakhlj18LlaITr3W5r63fzmChfHDOIW+vSeVEFHJ5oKnpEzZrljXfHc/YMcfye0w
bkUTSTFchoO2yVVK/DF0yRcDyQ/5+0xWPtak7uGO9KwzqrXI9EpMLtNhL5hJjqJgO5KBZ8zEezff
NkmxxiOjK4mXC3FgUQcGcwEsHjs5VJezDCT2UmHBJ8MlJLYAPixXyrz77I6GyikXSZbJSN/o/weY
9JMa4fkhwumyGrpYq</vt:lpwstr>
  </property>
  <property fmtid="{D5CDD505-2E9C-101B-9397-08002B2CF9AE}" pid="3" name="MAIL_MSG_ID2">
    <vt:lpwstr>MTefBwoOZfqjNBA8SAxOqTh3suCmnHcSWP+k2iRUdsYrQMefzelAq7cOmp+
siCirFfGdAJsUcDDv6G0520RRieFTQChvgDihEZ9AhwMpSkW</vt:lpwstr>
  </property>
  <property fmtid="{D5CDD505-2E9C-101B-9397-08002B2CF9AE}" pid="4" name="RESPONSE_SENDER_NAME">
    <vt:lpwstr>sAAAE9kkUq3pEoKz28HcqFBUWtw4R3Mg/jdFxeBQ4tiBfzc=</vt:lpwstr>
  </property>
  <property fmtid="{D5CDD505-2E9C-101B-9397-08002B2CF9AE}" pid="5" name="EMAIL_OWNER_ADDRESS">
    <vt:lpwstr>ABAAJXrvhtoYpC4OreqfmAX1jxUrahLv88zTibf5JVgJIz2sfCBiRvqwhtgH8egcXTLV</vt:lpwstr>
  </property>
  <property fmtid="{D5CDD505-2E9C-101B-9397-08002B2CF9AE}" pid="6" name="tikitDocNumber">
    <vt:lpwstr/>
  </property>
  <property fmtid="{D5CDD505-2E9C-101B-9397-08002B2CF9AE}" pid="7" name="tikitVersionNumber">
    <vt:lpwstr/>
  </property>
  <property fmtid="{D5CDD505-2E9C-101B-9397-08002B2CF9AE}" pid="8" name="tikitDocDescription">
    <vt:lpwstr/>
  </property>
  <property fmtid="{D5CDD505-2E9C-101B-9397-08002B2CF9AE}" pid="9" name="tikitAuthorID">
    <vt:lpwstr/>
  </property>
  <property fmtid="{D5CDD505-2E9C-101B-9397-08002B2CF9AE}" pid="10" name="tikitAuthor">
    <vt:lpwstr/>
  </property>
  <property fmtid="{D5CDD505-2E9C-101B-9397-08002B2CF9AE}" pid="11" name="tikitTypistID">
    <vt:lpwstr/>
  </property>
  <property fmtid="{D5CDD505-2E9C-101B-9397-08002B2CF9AE}" pid="12" name="tikitClientID">
    <vt:lpwstr/>
  </property>
  <property fmtid="{D5CDD505-2E9C-101B-9397-08002B2CF9AE}" pid="13" name="tikitClientDescription">
    <vt:lpwstr/>
  </property>
  <property fmtid="{D5CDD505-2E9C-101B-9397-08002B2CF9AE}" pid="14" name="tikitMatterID">
    <vt:lpwstr/>
  </property>
  <property fmtid="{D5CDD505-2E9C-101B-9397-08002B2CF9AE}" pid="15" name="tikitMatterDescription">
    <vt:lpwstr/>
  </property>
  <property fmtid="{D5CDD505-2E9C-101B-9397-08002B2CF9AE}" pid="16" name="tikitDocRef">
    <vt:lpwstr/>
  </property>
</Properties>
</file>